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B16" w:rsidRDefault="00F24B16" w:rsidP="00630EF4">
      <w:pPr>
        <w:pStyle w:val="2"/>
        <w:keepNext w:val="0"/>
        <w:spacing w:before="300" w:after="300" w:line="525" w:lineRule="atLeast"/>
        <w:jc w:val="center"/>
        <w:rPr>
          <w:rFonts w:ascii="宋体" w:eastAsia="宋体" w:hAnsi="宋体" w:cs="宋体"/>
          <w:i w:val="0"/>
          <w:iCs w:val="0"/>
          <w:color w:val="333333"/>
          <w:sz w:val="27"/>
          <w:szCs w:val="27"/>
          <w:lang w:eastAsia="zh-CN"/>
        </w:rPr>
      </w:pPr>
      <w:r w:rsidRPr="00F24B16">
        <w:rPr>
          <w:rFonts w:ascii="宋体" w:eastAsia="宋体" w:hAnsi="宋体" w:cs="宋体" w:hint="eastAsia"/>
          <w:i w:val="0"/>
          <w:iCs w:val="0"/>
          <w:color w:val="333333"/>
          <w:sz w:val="27"/>
          <w:szCs w:val="27"/>
          <w:lang w:eastAsia="zh-CN"/>
        </w:rPr>
        <w:t>基于工厂化生产实践指导的</w:t>
      </w:r>
      <w:bookmarkStart w:id="0" w:name="_Hlk134898357"/>
      <w:r w:rsidRPr="00F24B16">
        <w:rPr>
          <w:rFonts w:ascii="宋体" w:eastAsia="宋体" w:hAnsi="宋体" w:cs="宋体" w:hint="eastAsia"/>
          <w:i w:val="0"/>
          <w:iCs w:val="0"/>
          <w:color w:val="333333"/>
          <w:sz w:val="27"/>
          <w:szCs w:val="27"/>
          <w:lang w:eastAsia="zh-CN"/>
        </w:rPr>
        <w:t>啤酒工艺学</w:t>
      </w:r>
      <w:bookmarkEnd w:id="0"/>
      <w:r w:rsidRPr="00F24B16">
        <w:rPr>
          <w:rFonts w:ascii="宋体" w:eastAsia="宋体" w:hAnsi="宋体" w:cs="宋体" w:hint="eastAsia"/>
          <w:i w:val="0"/>
          <w:iCs w:val="0"/>
          <w:color w:val="333333"/>
          <w:sz w:val="27"/>
          <w:szCs w:val="27"/>
          <w:lang w:eastAsia="zh-CN"/>
        </w:rPr>
        <w:t>教学研究</w:t>
      </w:r>
    </w:p>
    <w:p w:rsidR="00F24B16" w:rsidRDefault="00F24B16" w:rsidP="00630EF4">
      <w:pPr>
        <w:jc w:val="center"/>
      </w:pPr>
      <w:r w:rsidRPr="00F24B16">
        <w:rPr>
          <w:rFonts w:hint="eastAsia"/>
        </w:rPr>
        <w:t>丁勇</w:t>
      </w:r>
      <w:r>
        <w:rPr>
          <w:rFonts w:hint="eastAsia"/>
        </w:rPr>
        <w:t xml:space="preserve"> </w:t>
      </w:r>
      <w:proofErr w:type="gramStart"/>
      <w:r w:rsidRPr="00F24B16">
        <w:rPr>
          <w:rFonts w:hint="eastAsia"/>
        </w:rPr>
        <w:t>孙宏民</w:t>
      </w:r>
      <w:proofErr w:type="gramEnd"/>
      <w:r w:rsidRPr="00F24B16">
        <w:t xml:space="preserve"> 蔡露阳</w:t>
      </w:r>
      <w:r w:rsidR="00630EF4">
        <w:rPr>
          <w:rFonts w:hint="eastAsia"/>
        </w:rPr>
        <w:t xml:space="preserve"> </w:t>
      </w:r>
    </w:p>
    <w:p w:rsidR="00630EF4" w:rsidRDefault="00630EF4" w:rsidP="00B7695F">
      <w:pPr>
        <w:jc w:val="center"/>
      </w:pPr>
      <w:r w:rsidRPr="00630EF4">
        <w:rPr>
          <w:rFonts w:hint="eastAsia"/>
        </w:rPr>
        <w:t>（</w:t>
      </w:r>
      <w:r w:rsidRPr="00630EF4">
        <w:t>1. 陕西科技大学</w:t>
      </w:r>
      <w:bookmarkStart w:id="1" w:name="_GoBack"/>
      <w:bookmarkEnd w:id="1"/>
      <w:r w:rsidRPr="00630EF4">
        <w:t>食品与生物工程学院，陕西西安 710021）</w:t>
      </w:r>
    </w:p>
    <w:p w:rsidR="00CD5EEA" w:rsidRPr="00CE0DF1" w:rsidRDefault="00CD5EEA" w:rsidP="00D97CCE">
      <w:pPr>
        <w:pStyle w:val="content"/>
        <w:rPr>
          <w:rFonts w:ascii="仿宋" w:eastAsia="仿宋" w:hAnsi="仿宋" w:cs="宋体"/>
          <w:lang w:eastAsia="zh-CN"/>
        </w:rPr>
      </w:pPr>
      <w:r w:rsidRPr="00CE0DF1">
        <w:rPr>
          <w:rFonts w:ascii="仿宋" w:eastAsia="仿宋" w:hAnsi="仿宋" w:cs="宋体" w:hint="eastAsia"/>
          <w:lang w:eastAsia="zh-CN"/>
        </w:rPr>
        <w:t>啤酒工艺学是生物工程和酿酒工程的核心课程，涉及多个专业领域。国家“新工科”建设强调应用型人才的培养，对于工程实践重点强调。然而，目前该课程存在理论与实践结合不紧密、教学方式传统等问题。为提高教学质量，应当重视实践教学的比重、创新教学手段和与实际生产相结合的教学内容，注重学生实际体验和技能培养，以培养具备综合素质和实践能力的高素质技术人才。精酿啤酒生产作为一种创新的教学方法，可以使学生更加深入地了解啤酒工艺学的理论知识，并具有更为丰富的实践经验。</w:t>
      </w:r>
    </w:p>
    <w:p w:rsidR="00D97CCE" w:rsidRPr="008745D8" w:rsidRDefault="003944A6" w:rsidP="00D97CCE">
      <w:pPr>
        <w:pStyle w:val="content"/>
        <w:rPr>
          <w:rFonts w:ascii="仿宋" w:eastAsia="仿宋" w:hAnsi="仿宋" w:cs="宋体"/>
          <w:lang w:eastAsia="zh-CN"/>
        </w:rPr>
      </w:pPr>
      <w:r w:rsidRPr="008745D8">
        <w:rPr>
          <w:rFonts w:ascii="仿宋" w:eastAsia="仿宋" w:hAnsi="仿宋" w:cs="宋体" w:hint="eastAsia"/>
          <w:lang w:eastAsia="zh-CN"/>
        </w:rPr>
        <w:t>啤酒工艺学是生物工程专业、酿酒工程的核心工艺课程，涉及微生物学、生物化学、代谢工程、生物化学、生物工程设备、专业分析、分子生物学等相关专业知识，具有很强的交叉性和实践性，与工业生产联系紧密。啤酒工艺学是典型的工科课程，国家下发的“新工科”建设强调了适应社会发展需要的应用型人才培养，在“食品、农林项目群”中，对工程实践方面重点强调，避免大而虚，要求实而专，因此在教学中强化工业化生产实践是</w:t>
      </w:r>
      <w:r w:rsidR="00D97CCE" w:rsidRPr="008745D8">
        <w:rPr>
          <w:rFonts w:ascii="仿宋" w:eastAsia="仿宋" w:hAnsi="仿宋" w:cs="宋体"/>
          <w:lang w:eastAsia="zh-CN"/>
        </w:rPr>
        <w:t>啤酒工艺学</w:t>
      </w:r>
      <w:r w:rsidRPr="008745D8">
        <w:rPr>
          <w:rFonts w:ascii="仿宋" w:eastAsia="仿宋" w:hAnsi="仿宋" w:cs="宋体" w:hint="eastAsia"/>
          <w:lang w:eastAsia="zh-CN"/>
        </w:rPr>
        <w:t>教学改革的方向之一。</w:t>
      </w:r>
    </w:p>
    <w:p w:rsidR="00F24B16" w:rsidRPr="00CC0C57" w:rsidRDefault="00AE7C1C" w:rsidP="00D97CCE">
      <w:pPr>
        <w:pStyle w:val="content"/>
        <w:rPr>
          <w:rFonts w:ascii="仿宋" w:eastAsia="仿宋" w:hAnsi="仿宋"/>
          <w:lang w:eastAsia="zh-CN"/>
        </w:rPr>
      </w:pPr>
      <w:r w:rsidRPr="00CC0C57">
        <w:rPr>
          <w:rFonts w:ascii="仿宋" w:eastAsia="仿宋" w:hAnsi="仿宋" w:cs="宋体" w:hint="eastAsia"/>
          <w:lang w:eastAsia="zh-CN"/>
        </w:rPr>
        <w:t>一、</w:t>
      </w:r>
      <w:r w:rsidR="00F24B16" w:rsidRPr="00CC0C57">
        <w:rPr>
          <w:rFonts w:ascii="仿宋" w:eastAsia="仿宋" w:hAnsi="仿宋" w:cs="宋体" w:hint="eastAsia"/>
          <w:lang w:eastAsia="zh-CN"/>
        </w:rPr>
        <w:t>课程现状与面临的问题</w:t>
      </w:r>
    </w:p>
    <w:p w:rsidR="00D97CCE" w:rsidRPr="00CC0C57" w:rsidRDefault="00F24B16" w:rsidP="00D97CCE">
      <w:pPr>
        <w:pStyle w:val="content"/>
        <w:rPr>
          <w:rFonts w:ascii="仿宋" w:eastAsia="仿宋" w:hAnsi="仿宋"/>
          <w:lang w:eastAsia="zh-CN"/>
        </w:rPr>
      </w:pPr>
      <w:r w:rsidRPr="00CC0C57">
        <w:rPr>
          <w:rFonts w:ascii="仿宋" w:eastAsia="仿宋" w:hAnsi="仿宋" w:cs="宋体" w:hint="eastAsia"/>
          <w:lang w:eastAsia="zh-CN"/>
        </w:rPr>
        <w:t>啤酒工艺学</w:t>
      </w:r>
      <w:r w:rsidR="00CC0C57">
        <w:rPr>
          <w:rFonts w:ascii="仿宋" w:eastAsia="仿宋" w:hAnsi="仿宋" w:cs="宋体" w:hint="eastAsia"/>
          <w:lang w:eastAsia="zh-CN"/>
        </w:rPr>
        <w:t>课程的</w:t>
      </w:r>
      <w:r w:rsidR="00D97CCE" w:rsidRPr="00CC0C57">
        <w:rPr>
          <w:rFonts w:ascii="仿宋" w:eastAsia="仿宋" w:hAnsi="仿宋" w:cs="宋体"/>
          <w:lang w:eastAsia="zh-CN"/>
        </w:rPr>
        <w:t>教学内容理论性较强，实践教学比例不够。传统的啤酒工艺学课程注重理论知识的传授，而忽视了对实践操作的培训。因此，学生虽然掌握了一定的理论基础，但在实际操作中却显得力不从心，导致教学内容难以与实际生产工作相结合，让学生无法感受到啤酒工艺的实践意义和应用场景，使得培养出来的啤酒技术人才不能满足企业的实际工作需求。</w:t>
      </w:r>
    </w:p>
    <w:p w:rsidR="00AE7C1C" w:rsidRPr="00CC0C57" w:rsidRDefault="00D97CCE" w:rsidP="00AE7C1C">
      <w:pPr>
        <w:pStyle w:val="content"/>
        <w:rPr>
          <w:rFonts w:ascii="仿宋" w:eastAsia="仿宋" w:hAnsi="仿宋" w:cs="宋体"/>
          <w:lang w:eastAsia="zh-CN"/>
        </w:rPr>
      </w:pPr>
      <w:r w:rsidRPr="00CC0C57">
        <w:rPr>
          <w:rFonts w:ascii="仿宋" w:eastAsia="仿宋" w:hAnsi="仿宋" w:cs="宋体"/>
          <w:lang w:eastAsia="zh-CN"/>
        </w:rPr>
        <w:t>针对上述问题，应当重视啤酒工艺学教学中实践教学的比重，采用新的教学手段和方法，打造与实际生产相结合的教学内容，并且在教学中注重学生的实际体验和技能培养，以培养具备综合素质和实践能力的高素质技术人才。</w:t>
      </w:r>
      <w:bookmarkStart w:id="2" w:name="_Toc256000038"/>
    </w:p>
    <w:p w:rsidR="00D97CCE" w:rsidRPr="00F32A38" w:rsidRDefault="00AE7C1C" w:rsidP="00AE7C1C">
      <w:pPr>
        <w:pStyle w:val="content"/>
        <w:rPr>
          <w:rFonts w:eastAsia="仿宋"/>
          <w:lang w:eastAsia="zh-CN"/>
        </w:rPr>
      </w:pPr>
      <w:r w:rsidRPr="00F32A38">
        <w:rPr>
          <w:rFonts w:eastAsia="仿宋"/>
          <w:lang w:eastAsia="zh-CN"/>
        </w:rPr>
        <w:t>二、</w:t>
      </w:r>
      <w:r w:rsidR="00D97CCE" w:rsidRPr="00F32A38">
        <w:rPr>
          <w:rFonts w:eastAsia="仿宋"/>
          <w:sz w:val="27"/>
          <w:szCs w:val="27"/>
          <w:lang w:eastAsia="zh-CN"/>
        </w:rPr>
        <w:t>啤酒工艺学教学的改进</w:t>
      </w:r>
      <w:bookmarkEnd w:id="2"/>
      <w:r w:rsidR="00181495" w:rsidRPr="00F32A38">
        <w:rPr>
          <w:rFonts w:eastAsia="仿宋"/>
          <w:sz w:val="27"/>
          <w:szCs w:val="27"/>
          <w:lang w:eastAsia="zh-CN"/>
        </w:rPr>
        <w:t>思路</w:t>
      </w:r>
    </w:p>
    <w:p w:rsidR="00D97CCE" w:rsidRPr="00F32A38" w:rsidRDefault="00B316FF" w:rsidP="00181495">
      <w:pPr>
        <w:pStyle w:val="content"/>
        <w:rPr>
          <w:rFonts w:eastAsia="仿宋"/>
          <w:lang w:eastAsia="zh-CN"/>
        </w:rPr>
      </w:pPr>
      <w:r w:rsidRPr="00B316FF">
        <w:rPr>
          <w:rFonts w:eastAsia="仿宋" w:hint="eastAsia"/>
          <w:lang w:eastAsia="zh-CN"/>
        </w:rPr>
        <w:t>在啤酒工艺学教学中，注重学生实践技能的培养是提高教学质量的重要措施之一。</w:t>
      </w:r>
      <w:r w:rsidR="00D97CCE" w:rsidRPr="00F32A38">
        <w:rPr>
          <w:rFonts w:eastAsia="仿宋"/>
          <w:lang w:eastAsia="zh-CN"/>
        </w:rPr>
        <w:t>为了提高啤酒工艺学教学的质量，我们需要积极探索改进与创新的方</w:t>
      </w:r>
      <w:r w:rsidR="00D97CCE" w:rsidRPr="00F32A38">
        <w:rPr>
          <w:rFonts w:eastAsia="仿宋"/>
          <w:lang w:eastAsia="zh-CN"/>
        </w:rPr>
        <w:lastRenderedPageBreak/>
        <w:t>法。</w:t>
      </w:r>
      <w:r w:rsidR="00181495" w:rsidRPr="00F32A38">
        <w:rPr>
          <w:rFonts w:eastAsia="仿宋"/>
          <w:lang w:eastAsia="zh-CN"/>
        </w:rPr>
        <w:t>针对</w:t>
      </w:r>
      <w:r w:rsidR="00D97CCE" w:rsidRPr="00F32A38">
        <w:rPr>
          <w:rFonts w:eastAsia="仿宋"/>
          <w:lang w:eastAsia="zh-CN"/>
        </w:rPr>
        <w:t>传统的理论课程教学模式较为单一，缺少实践环节，学生缺乏对实际啤酒酿造工艺的了解，且对于啤酒的消费认知较低</w:t>
      </w:r>
      <w:r w:rsidR="00181495" w:rsidRPr="00F32A38">
        <w:rPr>
          <w:rFonts w:eastAsia="仿宋"/>
          <w:lang w:eastAsia="zh-CN"/>
        </w:rPr>
        <w:t>的</w:t>
      </w:r>
      <w:r w:rsidR="00D97CCE" w:rsidRPr="00F32A38">
        <w:rPr>
          <w:rFonts w:eastAsia="仿宋"/>
          <w:lang w:eastAsia="zh-CN"/>
        </w:rPr>
        <w:t>问题</w:t>
      </w:r>
      <w:r w:rsidRPr="00B316FF">
        <w:rPr>
          <w:rFonts w:eastAsia="仿宋" w:hint="eastAsia"/>
          <w:lang w:eastAsia="zh-CN"/>
        </w:rPr>
        <w:t>。精酿啤酒生产引入本科生课程作为一种创新的教学方法，</w:t>
      </w:r>
      <w:r w:rsidR="00D97CCE" w:rsidRPr="00F32A38">
        <w:rPr>
          <w:rFonts w:eastAsia="仿宋"/>
          <w:lang w:eastAsia="zh-CN"/>
        </w:rPr>
        <w:t>我们在教学中鼓励学生积极参与精酿啤酒的酿造过程，从而能更加全面、深入地掌握啤酒酿造工艺的细节</w:t>
      </w:r>
      <w:r w:rsidRPr="00B316FF">
        <w:rPr>
          <w:rFonts w:eastAsia="仿宋" w:hint="eastAsia"/>
          <w:lang w:eastAsia="zh-CN"/>
        </w:rPr>
        <w:t>，并具有更为丰富的实践经验</w:t>
      </w:r>
      <w:r w:rsidR="00D97CCE" w:rsidRPr="00F32A38">
        <w:rPr>
          <w:rFonts w:eastAsia="仿宋"/>
          <w:lang w:eastAsia="zh-CN"/>
        </w:rPr>
        <w:t>。此外，在教学中注意对啤酒文化的传承和讲解，增强学生的啤酒消费意识和文化素养，让学生能够在实际生活中更好地体验和品尝啤酒。</w:t>
      </w:r>
    </w:p>
    <w:p w:rsidR="00D97CCE" w:rsidRPr="0028085A" w:rsidRDefault="00D97CCE" w:rsidP="00D97CCE">
      <w:pPr>
        <w:pStyle w:val="content"/>
        <w:rPr>
          <w:rFonts w:eastAsia="仿宋"/>
          <w:lang w:eastAsia="zh-CN"/>
        </w:rPr>
      </w:pPr>
      <w:r w:rsidRPr="0028085A">
        <w:rPr>
          <w:rFonts w:eastAsia="仿宋"/>
          <w:lang w:eastAsia="zh-CN"/>
        </w:rPr>
        <w:t>在精酿啤酒生产实践中，学生们参与到啤酒酿造的每一个环节中，并且负责一个小组的生产任务</w:t>
      </w:r>
      <w:r w:rsidR="00051E35" w:rsidRPr="0028085A">
        <w:rPr>
          <w:rFonts w:eastAsia="仿宋"/>
          <w:lang w:eastAsia="zh-CN"/>
        </w:rPr>
        <w:t>，</w:t>
      </w:r>
      <w:r w:rsidR="0028085A" w:rsidRPr="0028085A">
        <w:rPr>
          <w:rFonts w:eastAsia="仿宋" w:hint="eastAsia"/>
          <w:lang w:eastAsia="zh-CN"/>
        </w:rPr>
        <w:t>完成啤酒</w:t>
      </w:r>
      <w:r w:rsidR="00051E35" w:rsidRPr="0028085A">
        <w:rPr>
          <w:rFonts w:eastAsia="仿宋" w:hint="eastAsia"/>
          <w:lang w:eastAsia="zh-CN"/>
        </w:rPr>
        <w:t>糖化、</w:t>
      </w:r>
      <w:r w:rsidR="00051E35" w:rsidRPr="0028085A">
        <w:rPr>
          <w:rFonts w:eastAsia="仿宋"/>
          <w:lang w:eastAsia="zh-CN"/>
        </w:rPr>
        <w:t>发酵、过滤</w:t>
      </w:r>
      <w:r w:rsidR="00051E35" w:rsidRPr="0028085A">
        <w:rPr>
          <w:rFonts w:eastAsia="仿宋" w:hint="eastAsia"/>
          <w:lang w:eastAsia="zh-CN"/>
        </w:rPr>
        <w:t>和包装</w:t>
      </w:r>
      <w:r w:rsidR="00051E35" w:rsidRPr="0028085A">
        <w:rPr>
          <w:rFonts w:eastAsia="仿宋"/>
          <w:lang w:eastAsia="zh-CN"/>
        </w:rPr>
        <w:t>等</w:t>
      </w:r>
      <w:r w:rsidR="0028085A" w:rsidRPr="0028085A">
        <w:rPr>
          <w:rFonts w:eastAsia="仿宋" w:hint="eastAsia"/>
          <w:lang w:eastAsia="zh-CN"/>
        </w:rPr>
        <w:t>生产全过程</w:t>
      </w:r>
      <w:r w:rsidRPr="0028085A">
        <w:rPr>
          <w:rFonts w:eastAsia="仿宋"/>
          <w:lang w:eastAsia="zh-CN"/>
        </w:rPr>
        <w:t>。通过实践操作，学生们能够发现问题，解决问题，锻炼技能，这对于提高学生们的实践能力和团队协作精神有着非常积极的意义。</w:t>
      </w:r>
    </w:p>
    <w:p w:rsidR="00181495" w:rsidRPr="00AD0B97" w:rsidRDefault="00AD0B97" w:rsidP="00D97CCE">
      <w:pPr>
        <w:pStyle w:val="content"/>
        <w:rPr>
          <w:rFonts w:eastAsia="仿宋"/>
          <w:lang w:eastAsia="zh-CN"/>
        </w:rPr>
      </w:pPr>
      <w:r w:rsidRPr="00AD0B97">
        <w:rPr>
          <w:rFonts w:eastAsia="仿宋" w:hint="eastAsia"/>
          <w:lang w:eastAsia="zh-CN"/>
        </w:rPr>
        <w:t>三</w:t>
      </w:r>
      <w:r w:rsidR="00181495" w:rsidRPr="00AD0B97">
        <w:rPr>
          <w:rFonts w:eastAsia="仿宋" w:hint="eastAsia"/>
          <w:lang w:eastAsia="zh-CN"/>
        </w:rPr>
        <w:t>、</w:t>
      </w:r>
      <w:bookmarkStart w:id="3" w:name="_Hlk134905991"/>
      <w:r w:rsidR="00181495" w:rsidRPr="00AD0B97">
        <w:rPr>
          <w:rFonts w:eastAsia="仿宋" w:hint="eastAsia"/>
          <w:lang w:eastAsia="zh-CN"/>
        </w:rPr>
        <w:t>精酿啤酒生产的</w:t>
      </w:r>
      <w:bookmarkEnd w:id="3"/>
      <w:r w:rsidR="00181495" w:rsidRPr="00AD0B97">
        <w:rPr>
          <w:rFonts w:eastAsia="仿宋" w:hint="eastAsia"/>
          <w:lang w:eastAsia="zh-CN"/>
        </w:rPr>
        <w:t>教学实验设计</w:t>
      </w:r>
    </w:p>
    <w:p w:rsidR="00D97CCE" w:rsidRPr="00AD0B97" w:rsidRDefault="00181495" w:rsidP="00D97CCE">
      <w:pPr>
        <w:pStyle w:val="content"/>
        <w:rPr>
          <w:rFonts w:eastAsia="仿宋"/>
          <w:lang w:eastAsia="zh-CN"/>
        </w:rPr>
      </w:pPr>
      <w:r w:rsidRPr="00AD0B97">
        <w:rPr>
          <w:rFonts w:eastAsia="仿宋" w:hint="eastAsia"/>
          <w:lang w:eastAsia="zh-CN"/>
        </w:rPr>
        <w:t>精酿啤酒生产的教学</w:t>
      </w:r>
      <w:r w:rsidR="00D97CCE" w:rsidRPr="00AD0B97">
        <w:rPr>
          <w:rFonts w:eastAsia="仿宋"/>
          <w:lang w:eastAsia="zh-CN"/>
        </w:rPr>
        <w:t>实验设计是啤酒生产中十分重要的步骤之一，合理的实验设计能够为产品的生产提供理论依据和实验支持。因此，我们针对精酿啤酒的生产特点，设计了一系列适用于实践的实验方案，以期得到更好的生产效果。</w:t>
      </w:r>
    </w:p>
    <w:p w:rsidR="00453192" w:rsidRDefault="00D97CCE" w:rsidP="00AD0B97">
      <w:pPr>
        <w:pStyle w:val="content"/>
        <w:rPr>
          <w:rFonts w:eastAsia="仿宋"/>
          <w:lang w:eastAsia="zh-CN"/>
        </w:rPr>
      </w:pPr>
      <w:r w:rsidRPr="00AD0B97">
        <w:rPr>
          <w:rFonts w:eastAsia="仿宋"/>
          <w:lang w:eastAsia="zh-CN"/>
        </w:rPr>
        <w:t>我们制定明确的实验目的和任务</w:t>
      </w:r>
      <w:r w:rsidR="00AD0B97" w:rsidRPr="00AD0B97">
        <w:rPr>
          <w:rFonts w:eastAsia="仿宋"/>
          <w:lang w:eastAsia="zh-CN"/>
        </w:rPr>
        <w:t>，</w:t>
      </w:r>
      <w:r w:rsidR="00453192" w:rsidRPr="00453192">
        <w:rPr>
          <w:rFonts w:eastAsia="仿宋"/>
          <w:lang w:eastAsia="zh-CN"/>
        </w:rPr>
        <w:t>精酿啤酒的生产实验分为三个模块进行：</w:t>
      </w:r>
      <w:r w:rsidR="00453192" w:rsidRPr="00453192">
        <w:rPr>
          <w:rFonts w:ascii="宋体" w:eastAsia="宋体" w:hAnsi="宋体" w:cs="宋体" w:hint="eastAsia"/>
          <w:lang w:eastAsia="zh-CN"/>
        </w:rPr>
        <w:t>①</w:t>
      </w:r>
      <w:r w:rsidR="00453192" w:rsidRPr="00453192">
        <w:rPr>
          <w:rFonts w:eastAsia="仿宋"/>
          <w:lang w:eastAsia="zh-CN"/>
        </w:rPr>
        <w:t xml:space="preserve"> </w:t>
      </w:r>
      <w:r w:rsidR="00453192" w:rsidRPr="00453192">
        <w:rPr>
          <w:rFonts w:eastAsia="仿宋"/>
          <w:lang w:eastAsia="zh-CN"/>
        </w:rPr>
        <w:t>啤酒小规模生产模块，即麦芽汁的制造（糖化）、啤酒发酵、啤酒的过滤与灌装；</w:t>
      </w:r>
      <w:r w:rsidR="00453192" w:rsidRPr="00453192">
        <w:rPr>
          <w:rFonts w:ascii="宋体" w:eastAsia="宋体" w:hAnsi="宋体" w:cs="宋体" w:hint="eastAsia"/>
          <w:lang w:eastAsia="zh-CN"/>
        </w:rPr>
        <w:t>②</w:t>
      </w:r>
      <w:r w:rsidR="00453192" w:rsidRPr="00453192">
        <w:rPr>
          <w:rFonts w:eastAsia="仿宋"/>
          <w:lang w:eastAsia="zh-CN"/>
        </w:rPr>
        <w:t xml:space="preserve"> </w:t>
      </w:r>
      <w:r w:rsidR="00453192" w:rsidRPr="00453192">
        <w:rPr>
          <w:rFonts w:eastAsia="仿宋"/>
          <w:lang w:eastAsia="zh-CN"/>
        </w:rPr>
        <w:t>啤酒分析检测模块，即发酵过程及成品啤酒的检测、啤酒质量品评；</w:t>
      </w:r>
      <w:r w:rsidR="00453192" w:rsidRPr="00453192">
        <w:rPr>
          <w:rFonts w:ascii="宋体" w:eastAsia="宋体" w:hAnsi="宋体" w:cs="宋体" w:hint="eastAsia"/>
          <w:lang w:eastAsia="zh-CN"/>
        </w:rPr>
        <w:t>③</w:t>
      </w:r>
      <w:r w:rsidR="00453192" w:rsidRPr="00453192">
        <w:rPr>
          <w:rFonts w:eastAsia="仿宋"/>
          <w:lang w:eastAsia="zh-CN"/>
        </w:rPr>
        <w:t xml:space="preserve"> </w:t>
      </w:r>
      <w:r w:rsidR="00453192" w:rsidRPr="00453192">
        <w:rPr>
          <w:rFonts w:eastAsia="仿宋"/>
          <w:lang w:eastAsia="zh-CN"/>
        </w:rPr>
        <w:t>工业微生物实验模块，即啤酒酵母培养、工业菌株的分离与鉴定、菌株保藏。因此将班级的学生分三组，教师首先对第一组进行啤酒小规模生产模块的设备操作规程的讲解，并按照学生制定的工艺参数指导第一组学生完成该模块内所有实验。同样，指导第二组及第三组学生分别完成啤酒分析检测模块及工业微生物实验模块内相关的实验。</w:t>
      </w:r>
    </w:p>
    <w:p w:rsidR="00BE63D8" w:rsidRPr="00BE63D8" w:rsidRDefault="00BE63D8" w:rsidP="00BE63D8">
      <w:pPr>
        <w:pStyle w:val="content"/>
        <w:jc w:val="center"/>
        <w:rPr>
          <w:rFonts w:eastAsia="仿宋"/>
          <w:sz w:val="18"/>
          <w:szCs w:val="18"/>
          <w:lang w:eastAsia="zh-CN"/>
        </w:rPr>
      </w:pPr>
      <w:r w:rsidRPr="00BE63D8">
        <w:rPr>
          <w:rFonts w:eastAsia="仿宋" w:hint="eastAsia"/>
          <w:sz w:val="18"/>
          <w:szCs w:val="18"/>
          <w:lang w:eastAsia="zh-CN"/>
        </w:rPr>
        <w:t>表</w:t>
      </w:r>
      <w:r w:rsidRPr="00BE63D8">
        <w:rPr>
          <w:rFonts w:eastAsia="仿宋"/>
          <w:sz w:val="18"/>
          <w:szCs w:val="18"/>
          <w:lang w:eastAsia="zh-CN"/>
        </w:rPr>
        <w:t xml:space="preserve">1 </w:t>
      </w:r>
      <w:r w:rsidRPr="00BE63D8">
        <w:rPr>
          <w:rFonts w:eastAsia="仿宋"/>
          <w:sz w:val="18"/>
          <w:szCs w:val="18"/>
          <w:lang w:eastAsia="zh-CN"/>
        </w:rPr>
        <w:t>实验</w:t>
      </w:r>
      <w:r w:rsidRPr="00BE63D8">
        <w:rPr>
          <w:rFonts w:eastAsia="仿宋" w:hint="eastAsia"/>
          <w:sz w:val="18"/>
          <w:szCs w:val="18"/>
          <w:lang w:eastAsia="zh-CN"/>
        </w:rPr>
        <w:t>模块及实验项目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4931"/>
      </w:tblGrid>
      <w:tr w:rsidR="00CE0DF1" w:rsidRPr="00BE63D8" w:rsidTr="00CE0DF1">
        <w:trPr>
          <w:jc w:val="center"/>
        </w:trPr>
        <w:tc>
          <w:tcPr>
            <w:tcW w:w="1868" w:type="dxa"/>
            <w:shd w:val="clear" w:color="auto" w:fill="auto"/>
            <w:vAlign w:val="center"/>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hint="eastAsia"/>
                <w:sz w:val="18"/>
                <w:szCs w:val="18"/>
              </w:rPr>
              <w:t>实验模块</w:t>
            </w: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hint="eastAsia"/>
                <w:sz w:val="18"/>
                <w:szCs w:val="18"/>
              </w:rPr>
              <w:t>实验项目</w:t>
            </w:r>
          </w:p>
        </w:tc>
      </w:tr>
      <w:tr w:rsidR="00CE0DF1" w:rsidRPr="00BE63D8" w:rsidTr="00CE0DF1">
        <w:trPr>
          <w:jc w:val="center"/>
        </w:trPr>
        <w:tc>
          <w:tcPr>
            <w:tcW w:w="1868" w:type="dxa"/>
            <w:vMerge w:val="restart"/>
            <w:shd w:val="clear" w:color="auto" w:fill="auto"/>
            <w:vAlign w:val="center"/>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啤酒小规模生产</w:t>
            </w: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协定法糖化试验</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小型啤酒酿造设备介绍及发酵罐</w:t>
            </w:r>
            <w:proofErr w:type="gramStart"/>
            <w:r w:rsidRPr="00BE63D8">
              <w:rPr>
                <w:rFonts w:ascii="Times New Roman" w:eastAsia="仿宋" w:hAnsi="Times New Roman"/>
                <w:sz w:val="18"/>
                <w:szCs w:val="18"/>
              </w:rPr>
              <w:t>的空消</w:t>
            </w:r>
            <w:proofErr w:type="gramEnd"/>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麦芽汁的制备</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糖度的测定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啤酒主发酵</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后发酵</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固定化啤酒发酵</w:t>
            </w:r>
          </w:p>
        </w:tc>
      </w:tr>
      <w:tr w:rsidR="00CE0DF1" w:rsidRPr="00BE63D8" w:rsidTr="00CE0DF1">
        <w:trPr>
          <w:jc w:val="center"/>
        </w:trPr>
        <w:tc>
          <w:tcPr>
            <w:tcW w:w="1868" w:type="dxa"/>
            <w:vMerge w:val="restart"/>
            <w:shd w:val="clear" w:color="auto" w:fill="auto"/>
            <w:vAlign w:val="center"/>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lastRenderedPageBreak/>
              <w:t>啤酒分析检测</w:t>
            </w: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总还原糖含量的测定（斐林试剂法）</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α–</w:t>
            </w:r>
            <w:r w:rsidRPr="00BE63D8">
              <w:rPr>
                <w:rFonts w:ascii="Times New Roman" w:eastAsia="仿宋" w:hAnsi="Times New Roman"/>
                <w:sz w:val="18"/>
                <w:szCs w:val="18"/>
              </w:rPr>
              <w:t>氨基氮含量的测定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酸度和</w:t>
            </w:r>
            <w:r w:rsidRPr="00BE63D8">
              <w:rPr>
                <w:rFonts w:ascii="Times New Roman" w:eastAsia="仿宋" w:hAnsi="Times New Roman"/>
                <w:sz w:val="18"/>
                <w:szCs w:val="18"/>
              </w:rPr>
              <w:t>pH</w:t>
            </w:r>
            <w:r w:rsidRPr="00BE63D8">
              <w:rPr>
                <w:rFonts w:ascii="Times New Roman" w:eastAsia="仿宋" w:hAnsi="Times New Roman"/>
                <w:sz w:val="18"/>
                <w:szCs w:val="18"/>
              </w:rPr>
              <w:t>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比重的测定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酒精度的测定及原麦汁浓度的计算</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双乙酰含量的测定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色度的测定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苦味质的测定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二氧化碳含量的测定</w:t>
            </w:r>
          </w:p>
        </w:tc>
      </w:tr>
      <w:tr w:rsidR="00CE0DF1" w:rsidRPr="00BE63D8" w:rsidTr="00CE0DF1">
        <w:trPr>
          <w:jc w:val="center"/>
        </w:trPr>
        <w:tc>
          <w:tcPr>
            <w:tcW w:w="1868" w:type="dxa"/>
            <w:vMerge/>
            <w:shd w:val="clear" w:color="auto" w:fill="auto"/>
            <w:vAlign w:val="center"/>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啤酒质量品评</w:t>
            </w:r>
          </w:p>
        </w:tc>
      </w:tr>
      <w:tr w:rsidR="00CE0DF1" w:rsidRPr="00BE63D8" w:rsidTr="00CE0DF1">
        <w:trPr>
          <w:jc w:val="center"/>
        </w:trPr>
        <w:tc>
          <w:tcPr>
            <w:tcW w:w="1868" w:type="dxa"/>
            <w:vMerge w:val="restart"/>
            <w:shd w:val="clear" w:color="auto" w:fill="auto"/>
            <w:vAlign w:val="center"/>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工业微生物实验</w:t>
            </w: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啤酒酵母纯种分离</w:t>
            </w:r>
          </w:p>
        </w:tc>
      </w:tr>
      <w:tr w:rsidR="00CE0DF1" w:rsidRPr="00BE63D8" w:rsidTr="00CE0DF1">
        <w:trPr>
          <w:jc w:val="center"/>
        </w:trPr>
        <w:tc>
          <w:tcPr>
            <w:tcW w:w="1868" w:type="dxa"/>
            <w:vMerge/>
            <w:shd w:val="clear" w:color="auto" w:fill="auto"/>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啤酒酵母的计数</w:t>
            </w:r>
          </w:p>
        </w:tc>
      </w:tr>
      <w:tr w:rsidR="00CE0DF1" w:rsidRPr="00BE63D8" w:rsidTr="00CE0DF1">
        <w:trPr>
          <w:jc w:val="center"/>
        </w:trPr>
        <w:tc>
          <w:tcPr>
            <w:tcW w:w="1868" w:type="dxa"/>
            <w:vMerge/>
            <w:shd w:val="clear" w:color="auto" w:fill="auto"/>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啤酒酵母的质量检查</w:t>
            </w:r>
          </w:p>
        </w:tc>
      </w:tr>
      <w:tr w:rsidR="00CE0DF1" w:rsidRPr="00BE63D8" w:rsidTr="00CE0DF1">
        <w:trPr>
          <w:trHeight w:val="70"/>
          <w:jc w:val="center"/>
        </w:trPr>
        <w:tc>
          <w:tcPr>
            <w:tcW w:w="1868" w:type="dxa"/>
            <w:vMerge/>
            <w:shd w:val="clear" w:color="auto" w:fill="auto"/>
          </w:tcPr>
          <w:p w:rsidR="00CE0DF1" w:rsidRPr="00BE63D8" w:rsidRDefault="00CE0DF1" w:rsidP="00E07F04">
            <w:pPr>
              <w:jc w:val="center"/>
              <w:rPr>
                <w:rFonts w:ascii="Times New Roman" w:eastAsia="仿宋" w:hAnsi="Times New Roman"/>
                <w:sz w:val="18"/>
                <w:szCs w:val="18"/>
              </w:rPr>
            </w:pPr>
          </w:p>
        </w:tc>
        <w:tc>
          <w:tcPr>
            <w:tcW w:w="4931" w:type="dxa"/>
            <w:shd w:val="clear" w:color="auto" w:fill="auto"/>
          </w:tcPr>
          <w:p w:rsidR="00CE0DF1" w:rsidRPr="00BE63D8" w:rsidRDefault="00CE0DF1" w:rsidP="00E07F04">
            <w:pPr>
              <w:jc w:val="center"/>
              <w:rPr>
                <w:rFonts w:ascii="Times New Roman" w:eastAsia="仿宋" w:hAnsi="Times New Roman"/>
                <w:sz w:val="18"/>
                <w:szCs w:val="18"/>
              </w:rPr>
            </w:pPr>
            <w:r w:rsidRPr="00BE63D8">
              <w:rPr>
                <w:rFonts w:ascii="Times New Roman" w:eastAsia="仿宋" w:hAnsi="Times New Roman"/>
                <w:sz w:val="18"/>
                <w:szCs w:val="18"/>
              </w:rPr>
              <w:t>啤酒酵母的扩大培养</w:t>
            </w:r>
          </w:p>
        </w:tc>
      </w:tr>
    </w:tbl>
    <w:p w:rsidR="00453192" w:rsidRPr="00453192" w:rsidRDefault="00453192" w:rsidP="00AD0B97">
      <w:pPr>
        <w:pStyle w:val="content"/>
        <w:rPr>
          <w:rFonts w:eastAsia="仿宋"/>
          <w:lang w:eastAsia="zh-CN"/>
        </w:rPr>
      </w:pPr>
      <w:r w:rsidRPr="00453192">
        <w:rPr>
          <w:rFonts w:eastAsia="仿宋"/>
          <w:lang w:eastAsia="zh-CN"/>
        </w:rPr>
        <w:t>在此次实验教学改革了教师讲学生做的模式，探索每组学生教师只讲实验的一个模块，其它有学生互相讲述并指导其他组别完成实验，每个实验有两名同学进行讲解，一人讲解实验的原理和方法，另一人知道具体的实验操作，教师主要负责引导和点评，对错误及时予以纠正，同时指出学生遗漏的知识点，学生扮演</w:t>
      </w:r>
      <w:r w:rsidRPr="00453192">
        <w:rPr>
          <w:rFonts w:eastAsia="仿宋"/>
          <w:lang w:eastAsia="zh-CN"/>
        </w:rPr>
        <w:t>“</w:t>
      </w:r>
      <w:r w:rsidRPr="00453192">
        <w:rPr>
          <w:rFonts w:eastAsia="仿宋"/>
          <w:lang w:eastAsia="zh-CN"/>
        </w:rPr>
        <w:t>教师</w:t>
      </w:r>
      <w:r w:rsidRPr="00453192">
        <w:rPr>
          <w:rFonts w:eastAsia="仿宋"/>
          <w:lang w:eastAsia="zh-CN"/>
        </w:rPr>
        <w:t>”</w:t>
      </w:r>
      <w:r w:rsidRPr="00453192">
        <w:rPr>
          <w:rFonts w:eastAsia="仿宋"/>
          <w:lang w:eastAsia="zh-CN"/>
        </w:rPr>
        <w:t>的角色有利于其更好的认知实验的原理、方法和增强自己的动手能力。</w:t>
      </w:r>
    </w:p>
    <w:p w:rsidR="0055680C" w:rsidRPr="002B14C1" w:rsidRDefault="0055680C" w:rsidP="0055680C">
      <w:pPr>
        <w:pStyle w:val="content"/>
        <w:rPr>
          <w:rFonts w:eastAsia="仿宋"/>
          <w:lang w:eastAsia="zh-CN"/>
        </w:rPr>
      </w:pPr>
      <w:r>
        <w:rPr>
          <w:rFonts w:eastAsia="仿宋" w:hint="eastAsia"/>
          <w:lang w:eastAsia="zh-CN"/>
        </w:rPr>
        <w:t>四、</w:t>
      </w:r>
      <w:r w:rsidRPr="002B14C1">
        <w:rPr>
          <w:rFonts w:eastAsia="仿宋"/>
          <w:lang w:eastAsia="zh-CN"/>
        </w:rPr>
        <w:t>基于</w:t>
      </w:r>
      <w:r>
        <w:rPr>
          <w:rFonts w:eastAsia="仿宋" w:hint="eastAsia"/>
          <w:lang w:eastAsia="zh-CN"/>
        </w:rPr>
        <w:t>实验设计</w:t>
      </w:r>
      <w:r w:rsidRPr="002B14C1">
        <w:rPr>
          <w:rFonts w:eastAsia="仿宋"/>
          <w:lang w:eastAsia="zh-CN"/>
        </w:rPr>
        <w:t>的全面考核</w:t>
      </w:r>
    </w:p>
    <w:p w:rsidR="0055680C" w:rsidRDefault="0055680C" w:rsidP="0055680C">
      <w:pPr>
        <w:pStyle w:val="content"/>
        <w:rPr>
          <w:rFonts w:eastAsia="仿宋"/>
          <w:lang w:eastAsia="zh-CN"/>
        </w:rPr>
      </w:pPr>
      <w:r w:rsidRPr="002B14C1">
        <w:rPr>
          <w:rFonts w:eastAsia="仿宋"/>
          <w:lang w:eastAsia="zh-CN"/>
        </w:rPr>
        <w:t>注重出勤率和实验报告成绩的考核方式不能准确反映学生的学习态度和对啤酒工艺理论与实践的掌握和运用，完善科学的考核及评价体系，有利于提高啤酒工艺学的教学效果。本次教改探索中，实验设计占实验成绩</w:t>
      </w:r>
      <w:r w:rsidRPr="002B14C1">
        <w:rPr>
          <w:rFonts w:eastAsia="仿宋"/>
          <w:lang w:eastAsia="zh-CN"/>
        </w:rPr>
        <w:t>30%</w:t>
      </w:r>
      <w:r w:rsidRPr="002B14C1">
        <w:rPr>
          <w:rFonts w:eastAsia="仿宋"/>
          <w:lang w:eastAsia="zh-CN"/>
        </w:rPr>
        <w:t>，实验</w:t>
      </w:r>
      <w:proofErr w:type="gramStart"/>
      <w:r w:rsidRPr="002B14C1">
        <w:rPr>
          <w:rFonts w:eastAsia="仿宋"/>
          <w:lang w:eastAsia="zh-CN"/>
        </w:rPr>
        <w:t>操作占</w:t>
      </w:r>
      <w:proofErr w:type="gramEnd"/>
      <w:r w:rsidRPr="002B14C1">
        <w:rPr>
          <w:rFonts w:eastAsia="仿宋"/>
          <w:lang w:eastAsia="zh-CN"/>
        </w:rPr>
        <w:t>实验成绩</w:t>
      </w:r>
      <w:r w:rsidRPr="002B14C1">
        <w:rPr>
          <w:rFonts w:eastAsia="仿宋"/>
          <w:lang w:eastAsia="zh-CN"/>
        </w:rPr>
        <w:t>30%</w:t>
      </w:r>
      <w:r w:rsidRPr="002B14C1">
        <w:rPr>
          <w:rFonts w:eastAsia="仿宋"/>
          <w:lang w:eastAsia="zh-CN"/>
        </w:rPr>
        <w:t>，实验报告占比为</w:t>
      </w:r>
      <w:r w:rsidRPr="002B14C1">
        <w:rPr>
          <w:rFonts w:eastAsia="仿宋"/>
          <w:lang w:eastAsia="zh-CN"/>
        </w:rPr>
        <w:t>40%</w:t>
      </w:r>
      <w:r w:rsidRPr="002B14C1">
        <w:rPr>
          <w:rFonts w:eastAsia="仿宋"/>
          <w:lang w:eastAsia="zh-CN"/>
        </w:rPr>
        <w:t>。</w:t>
      </w:r>
      <w:r w:rsidRPr="00504030">
        <w:rPr>
          <w:rFonts w:eastAsia="仿宋"/>
          <w:lang w:eastAsia="zh-CN"/>
        </w:rPr>
        <w:t>其中</w:t>
      </w:r>
      <w:r>
        <w:rPr>
          <w:rFonts w:eastAsia="仿宋" w:hint="eastAsia"/>
          <w:lang w:eastAsia="zh-CN"/>
        </w:rPr>
        <w:t>，</w:t>
      </w:r>
      <w:r w:rsidRPr="00504030">
        <w:rPr>
          <w:rFonts w:eastAsia="仿宋"/>
          <w:lang w:eastAsia="zh-CN"/>
        </w:rPr>
        <w:t>实验设计</w:t>
      </w:r>
      <w:r>
        <w:rPr>
          <w:rFonts w:eastAsia="仿宋" w:hint="eastAsia"/>
          <w:lang w:eastAsia="zh-CN"/>
        </w:rPr>
        <w:t>是这次教学改革的一次创新，以前的实验教学均为教师提供实验方案，学生完成即可。现在要求每组同学</w:t>
      </w:r>
      <w:r w:rsidRPr="00504030">
        <w:rPr>
          <w:rFonts w:eastAsia="仿宋"/>
          <w:lang w:eastAsia="zh-CN"/>
        </w:rPr>
        <w:t>设计啤酒类型，确定</w:t>
      </w:r>
      <w:r>
        <w:rPr>
          <w:rFonts w:eastAsia="仿宋" w:hint="eastAsia"/>
          <w:lang w:eastAsia="zh-CN"/>
        </w:rPr>
        <w:t>原辅料的组成、糖化工艺、发酵工艺等参数（表</w:t>
      </w:r>
      <w:r>
        <w:rPr>
          <w:rFonts w:eastAsia="仿宋" w:hint="eastAsia"/>
          <w:lang w:eastAsia="zh-CN"/>
        </w:rPr>
        <w:t>1</w:t>
      </w:r>
      <w:r>
        <w:rPr>
          <w:rFonts w:eastAsia="仿宋" w:hint="eastAsia"/>
          <w:lang w:eastAsia="zh-CN"/>
        </w:rPr>
        <w:t>），并在预实验的基础上，对工艺进行论证。确定生产工艺参数后，在小型工业生产线完成啤酒的酿造。</w:t>
      </w:r>
      <w:r w:rsidRPr="00504030">
        <w:rPr>
          <w:rFonts w:eastAsia="仿宋"/>
          <w:lang w:eastAsia="zh-CN"/>
        </w:rPr>
        <w:t>由于每一</w:t>
      </w:r>
      <w:r>
        <w:rPr>
          <w:rFonts w:eastAsia="仿宋" w:hint="eastAsia"/>
          <w:lang w:eastAsia="zh-CN"/>
        </w:rPr>
        <w:t>组</w:t>
      </w:r>
      <w:r w:rsidRPr="00504030">
        <w:rPr>
          <w:rFonts w:eastAsia="仿宋"/>
          <w:lang w:eastAsia="zh-CN"/>
        </w:rPr>
        <w:t>之间的</w:t>
      </w:r>
      <w:r>
        <w:rPr>
          <w:rFonts w:eastAsia="仿宋" w:hint="eastAsia"/>
          <w:lang w:eastAsia="zh-CN"/>
        </w:rPr>
        <w:t>啤酒类型</w:t>
      </w:r>
      <w:r w:rsidRPr="00504030">
        <w:rPr>
          <w:rFonts w:eastAsia="仿宋"/>
          <w:lang w:eastAsia="zh-CN"/>
        </w:rPr>
        <w:t>设置</w:t>
      </w:r>
      <w:r>
        <w:rPr>
          <w:rFonts w:eastAsia="仿宋" w:hint="eastAsia"/>
          <w:lang w:eastAsia="zh-CN"/>
        </w:rPr>
        <w:t>不同</w:t>
      </w:r>
      <w:r w:rsidRPr="00504030">
        <w:rPr>
          <w:rFonts w:eastAsia="仿宋"/>
          <w:lang w:eastAsia="zh-CN"/>
        </w:rPr>
        <w:t>，因此</w:t>
      </w:r>
      <w:r>
        <w:rPr>
          <w:rFonts w:eastAsia="仿宋" w:hint="eastAsia"/>
          <w:lang w:eastAsia="zh-CN"/>
        </w:rPr>
        <w:t>实验过程及</w:t>
      </w:r>
      <w:r w:rsidRPr="00504030">
        <w:rPr>
          <w:rFonts w:eastAsia="仿宋"/>
          <w:lang w:eastAsia="zh-CN"/>
        </w:rPr>
        <w:t>结果分析的</w:t>
      </w:r>
      <w:r>
        <w:rPr>
          <w:rFonts w:eastAsia="仿宋" w:hint="eastAsia"/>
          <w:lang w:eastAsia="zh-CN"/>
        </w:rPr>
        <w:t>差异较大，</w:t>
      </w:r>
      <w:r w:rsidRPr="00504030">
        <w:rPr>
          <w:rFonts w:eastAsia="仿宋"/>
          <w:lang w:eastAsia="zh-CN"/>
        </w:rPr>
        <w:t>有效杜绝学生之间的相互抄袭</w:t>
      </w:r>
      <w:r>
        <w:rPr>
          <w:rFonts w:eastAsia="仿宋" w:hint="eastAsia"/>
          <w:lang w:eastAsia="zh-CN"/>
        </w:rPr>
        <w:t>，考验了学生的团队精神和分析问题解决问题的能力，培养了学生积极主动的精神</w:t>
      </w:r>
      <w:r w:rsidRPr="00504030">
        <w:rPr>
          <w:rFonts w:eastAsia="仿宋"/>
          <w:lang w:eastAsia="zh-CN"/>
        </w:rPr>
        <w:t>。</w:t>
      </w:r>
    </w:p>
    <w:p w:rsidR="0055680C" w:rsidRPr="00BE63D8" w:rsidRDefault="0055680C" w:rsidP="0055680C">
      <w:pPr>
        <w:pStyle w:val="content"/>
        <w:jc w:val="center"/>
        <w:rPr>
          <w:rFonts w:eastAsia="仿宋"/>
          <w:sz w:val="18"/>
          <w:szCs w:val="18"/>
          <w:lang w:eastAsia="zh-CN"/>
        </w:rPr>
      </w:pPr>
      <w:bookmarkStart w:id="4" w:name="_Hlk145919462"/>
      <w:r w:rsidRPr="00BE63D8">
        <w:rPr>
          <w:rFonts w:eastAsia="仿宋" w:hint="eastAsia"/>
          <w:sz w:val="18"/>
          <w:szCs w:val="18"/>
          <w:lang w:eastAsia="zh-CN"/>
        </w:rPr>
        <w:t>表</w:t>
      </w:r>
      <w:r w:rsidRPr="00BE63D8">
        <w:rPr>
          <w:rFonts w:eastAsia="仿宋" w:hint="eastAsia"/>
          <w:sz w:val="18"/>
          <w:szCs w:val="18"/>
          <w:lang w:eastAsia="zh-CN"/>
        </w:rPr>
        <w:t xml:space="preserve">1 </w:t>
      </w:r>
      <w:r w:rsidRPr="00BE63D8">
        <w:rPr>
          <w:rFonts w:eastAsia="仿宋" w:hint="eastAsia"/>
          <w:sz w:val="18"/>
          <w:szCs w:val="18"/>
          <w:lang w:eastAsia="zh-CN"/>
        </w:rPr>
        <w:t>实验设计的要求及内容</w:t>
      </w:r>
    </w:p>
    <w:tbl>
      <w:tblPr>
        <w:tblStyle w:val="a5"/>
        <w:tblW w:w="0" w:type="auto"/>
        <w:tblLook w:val="04A0" w:firstRow="1" w:lastRow="0" w:firstColumn="1" w:lastColumn="0" w:noHBand="0" w:noVBand="1"/>
      </w:tblPr>
      <w:tblGrid>
        <w:gridCol w:w="4148"/>
        <w:gridCol w:w="4148"/>
      </w:tblGrid>
      <w:tr w:rsidR="0055680C" w:rsidRPr="00BE63D8" w:rsidTr="009C0E7C">
        <w:tc>
          <w:tcPr>
            <w:tcW w:w="4148" w:type="dxa"/>
            <w:vAlign w:val="center"/>
          </w:tcPr>
          <w:bookmarkEnd w:id="4"/>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项目</w:t>
            </w: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内容</w:t>
            </w:r>
          </w:p>
        </w:tc>
      </w:tr>
      <w:tr w:rsidR="0055680C" w:rsidRPr="00BE63D8" w:rsidTr="009C0E7C">
        <w:tc>
          <w:tcPr>
            <w:tcW w:w="4148" w:type="dxa"/>
            <w:vMerge w:val="restart"/>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麦芽汁的制造（糖化）</w:t>
            </w: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麦芽与辅料的粉碎：麦芽与辅料的粉碎要求、粉碎方法与粉碎设备</w:t>
            </w:r>
          </w:p>
        </w:tc>
      </w:tr>
      <w:tr w:rsidR="0055680C" w:rsidRPr="00BE63D8" w:rsidTr="009C0E7C">
        <w:tc>
          <w:tcPr>
            <w:tcW w:w="4148" w:type="dxa"/>
            <w:vMerge/>
            <w:vAlign w:val="center"/>
          </w:tcPr>
          <w:p w:rsidR="0055680C" w:rsidRPr="00BE63D8" w:rsidRDefault="0055680C" w:rsidP="009C0E7C">
            <w:pPr>
              <w:jc w:val="center"/>
              <w:rPr>
                <w:rFonts w:ascii="Times New Roman" w:eastAsia="仿宋" w:hAnsi="Times New Roman" w:cs="Times New Roman"/>
                <w:sz w:val="18"/>
                <w:szCs w:val="18"/>
              </w:rPr>
            </w:pP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糖化：糖化方法、设备、工艺过程和条件及影响</w:t>
            </w:r>
            <w:r w:rsidRPr="00BE63D8">
              <w:rPr>
                <w:rFonts w:ascii="Times New Roman" w:eastAsia="仿宋" w:hAnsi="Times New Roman" w:cs="Times New Roman"/>
                <w:sz w:val="18"/>
                <w:szCs w:val="18"/>
              </w:rPr>
              <w:lastRenderedPageBreak/>
              <w:t>糖化的主要因素</w:t>
            </w:r>
          </w:p>
        </w:tc>
      </w:tr>
      <w:tr w:rsidR="0055680C" w:rsidRPr="00BE63D8" w:rsidTr="009C0E7C">
        <w:tc>
          <w:tcPr>
            <w:tcW w:w="4148" w:type="dxa"/>
            <w:vMerge/>
            <w:vAlign w:val="center"/>
          </w:tcPr>
          <w:p w:rsidR="0055680C" w:rsidRPr="00BE63D8" w:rsidRDefault="0055680C" w:rsidP="009C0E7C">
            <w:pPr>
              <w:rPr>
                <w:rFonts w:ascii="Times New Roman" w:eastAsia="仿宋" w:hAnsi="Times New Roman" w:cs="Times New Roman"/>
                <w:sz w:val="18"/>
                <w:szCs w:val="18"/>
              </w:rPr>
            </w:pP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麦汁过滤：麦汁过滤的目的、过滤方法及操作要点，影响过滤的主要因素</w:t>
            </w:r>
          </w:p>
        </w:tc>
      </w:tr>
      <w:tr w:rsidR="0055680C" w:rsidRPr="00BE63D8" w:rsidTr="009C0E7C">
        <w:tc>
          <w:tcPr>
            <w:tcW w:w="4148" w:type="dxa"/>
            <w:vMerge/>
            <w:vAlign w:val="center"/>
          </w:tcPr>
          <w:p w:rsidR="0055680C" w:rsidRPr="00BE63D8" w:rsidRDefault="0055680C" w:rsidP="009C0E7C">
            <w:pPr>
              <w:rPr>
                <w:rFonts w:ascii="Times New Roman" w:eastAsia="仿宋" w:hAnsi="Times New Roman" w:cs="Times New Roman"/>
                <w:sz w:val="18"/>
                <w:szCs w:val="18"/>
              </w:rPr>
            </w:pP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麦汁煮沸与酒花添加：麦汁煮沸的目的与方法，酒花添加目的、方法，影响煮沸的主要因素</w:t>
            </w:r>
          </w:p>
        </w:tc>
      </w:tr>
      <w:tr w:rsidR="0055680C" w:rsidRPr="00BE63D8" w:rsidTr="009C0E7C">
        <w:tc>
          <w:tcPr>
            <w:tcW w:w="4148" w:type="dxa"/>
            <w:vMerge/>
            <w:vAlign w:val="center"/>
          </w:tcPr>
          <w:p w:rsidR="0055680C" w:rsidRPr="00BE63D8" w:rsidRDefault="0055680C" w:rsidP="009C0E7C">
            <w:pPr>
              <w:rPr>
                <w:rFonts w:ascii="Times New Roman" w:eastAsia="仿宋" w:hAnsi="Times New Roman" w:cs="Times New Roman"/>
                <w:sz w:val="18"/>
                <w:szCs w:val="18"/>
              </w:rPr>
            </w:pP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麦汁的冷却与澄清：冷却与澄清的目的、方法；冷却过程中热冷凝固物的析出分离与麦汁的变化</w:t>
            </w:r>
          </w:p>
        </w:tc>
      </w:tr>
      <w:tr w:rsidR="0055680C" w:rsidRPr="00BE63D8" w:rsidTr="009C0E7C">
        <w:tc>
          <w:tcPr>
            <w:tcW w:w="4148" w:type="dxa"/>
            <w:vMerge w:val="restart"/>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啤酒发酵</w:t>
            </w: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啤酒酵母选用与添加：依据不同啤酒类型与发酵法</w:t>
            </w:r>
            <w:proofErr w:type="gramStart"/>
            <w:r w:rsidRPr="00BE63D8">
              <w:rPr>
                <w:rFonts w:ascii="Times New Roman" w:eastAsia="仿宋" w:hAnsi="Times New Roman" w:cs="Times New Roman"/>
                <w:sz w:val="18"/>
                <w:szCs w:val="18"/>
              </w:rPr>
              <w:t>法</w:t>
            </w:r>
            <w:proofErr w:type="gramEnd"/>
            <w:r w:rsidRPr="00BE63D8">
              <w:rPr>
                <w:rFonts w:ascii="Times New Roman" w:eastAsia="仿宋" w:hAnsi="Times New Roman" w:cs="Times New Roman"/>
                <w:sz w:val="18"/>
                <w:szCs w:val="18"/>
              </w:rPr>
              <w:t>选用相应的啤酒酵母，确定添加方法与添加量</w:t>
            </w:r>
          </w:p>
        </w:tc>
      </w:tr>
      <w:tr w:rsidR="0055680C" w:rsidRPr="00BE63D8" w:rsidTr="009C0E7C">
        <w:tc>
          <w:tcPr>
            <w:tcW w:w="4148" w:type="dxa"/>
            <w:vMerge/>
            <w:vAlign w:val="center"/>
          </w:tcPr>
          <w:p w:rsidR="0055680C" w:rsidRPr="00BE63D8" w:rsidRDefault="0055680C" w:rsidP="009C0E7C">
            <w:pPr>
              <w:rPr>
                <w:rFonts w:ascii="Times New Roman" w:eastAsia="仿宋" w:hAnsi="Times New Roman" w:cs="Times New Roman"/>
                <w:sz w:val="18"/>
                <w:szCs w:val="18"/>
              </w:rPr>
            </w:pPr>
          </w:p>
        </w:tc>
        <w:tc>
          <w:tcPr>
            <w:tcW w:w="4148" w:type="dxa"/>
            <w:vAlign w:val="center"/>
          </w:tcPr>
          <w:p w:rsidR="0055680C" w:rsidRPr="00BE63D8" w:rsidRDefault="0055680C" w:rsidP="009C0E7C">
            <w:pPr>
              <w:jc w:val="center"/>
              <w:rPr>
                <w:rFonts w:ascii="Times New Roman" w:eastAsia="仿宋" w:hAnsi="Times New Roman" w:cs="Times New Roman"/>
                <w:sz w:val="18"/>
                <w:szCs w:val="18"/>
              </w:rPr>
            </w:pPr>
            <w:r w:rsidRPr="00BE63D8">
              <w:rPr>
                <w:rFonts w:ascii="Times New Roman" w:eastAsia="仿宋" w:hAnsi="Times New Roman" w:cs="Times New Roman"/>
                <w:sz w:val="18"/>
                <w:szCs w:val="18"/>
              </w:rPr>
              <w:t>啤酒发酵：啤酒发酵机理；发酵的工艺参数、双乙酰还原的措施、啤酒发酵度控制的措施、啤酒的稳定性与泡沫的稳定及措施</w:t>
            </w:r>
          </w:p>
        </w:tc>
      </w:tr>
    </w:tbl>
    <w:p w:rsidR="00E338D8" w:rsidRPr="0055680C" w:rsidRDefault="0055680C" w:rsidP="0055680C">
      <w:pPr>
        <w:pStyle w:val="content"/>
        <w:rPr>
          <w:rFonts w:eastAsia="仿宋"/>
          <w:lang w:eastAsia="zh-CN"/>
        </w:rPr>
      </w:pPr>
      <w:r w:rsidRPr="0055680C">
        <w:rPr>
          <w:rFonts w:eastAsia="仿宋" w:hint="eastAsia"/>
          <w:lang w:eastAsia="zh-CN"/>
        </w:rPr>
        <w:t>五</w:t>
      </w:r>
      <w:r w:rsidR="00E338D8" w:rsidRPr="0055680C">
        <w:rPr>
          <w:rFonts w:eastAsia="仿宋" w:hint="eastAsia"/>
          <w:lang w:eastAsia="zh-CN"/>
        </w:rPr>
        <w:t>、结论</w:t>
      </w:r>
    </w:p>
    <w:p w:rsidR="00D97CCE" w:rsidRPr="0055680C" w:rsidRDefault="00D97CCE" w:rsidP="00D97CCE">
      <w:pPr>
        <w:pStyle w:val="content"/>
        <w:rPr>
          <w:rFonts w:eastAsia="仿宋"/>
          <w:lang w:eastAsia="zh-CN"/>
        </w:rPr>
      </w:pPr>
      <w:r w:rsidRPr="0055680C">
        <w:rPr>
          <w:rFonts w:eastAsia="仿宋"/>
          <w:lang w:eastAsia="zh-CN"/>
        </w:rPr>
        <w:t>本文对精酿啤酒的生产实践指导进行了深入的研究与探讨，通过在实践中的不断探索与实践，我们逐步总结了一系列精酿啤酒的生产技术指导方法，并在啤酒工艺学课程的授课过程中进行了实际应用。在这个过程中，我们不断优化方案，研究新的发酵技术以及推陈出新，逐渐形成了一套稳定、高效、易于掌握的生产指导方案。我们不仅将生产实践指导融入啤酒工艺学教学中，还鼓励学生们参与到实践中，亲手体验和感知生产过程</w:t>
      </w:r>
      <w:r w:rsidR="0055680C">
        <w:rPr>
          <w:rFonts w:eastAsia="仿宋" w:hint="eastAsia"/>
          <w:lang w:eastAsia="zh-CN"/>
        </w:rPr>
        <w:t>，</w:t>
      </w:r>
      <w:r w:rsidRPr="0055680C">
        <w:rPr>
          <w:rFonts w:eastAsia="仿宋"/>
          <w:lang w:eastAsia="zh-CN"/>
        </w:rPr>
        <w:t>有助于学生们深刻理解啤酒生产技术，培养他们的实际能力和团队合作精神。</w:t>
      </w:r>
    </w:p>
    <w:p w:rsidR="00A62706" w:rsidRDefault="00A62706" w:rsidP="00D97CCE">
      <w:pPr>
        <w:pStyle w:val="content"/>
        <w:rPr>
          <w:lang w:eastAsia="zh-CN"/>
        </w:rPr>
      </w:pPr>
      <w:r>
        <w:rPr>
          <w:rFonts w:ascii="宋体" w:eastAsia="宋体" w:hAnsi="宋体" w:cs="宋体" w:hint="eastAsia"/>
          <w:lang w:eastAsia="zh-CN"/>
        </w:rPr>
        <w:t>参考文献</w:t>
      </w:r>
    </w:p>
    <w:p w:rsidR="00A62706" w:rsidRDefault="00A62706" w:rsidP="00A62706">
      <w:r>
        <w:t>[1] 谢敏,孟胜亚,薛胜平.精酿啤酒研究进展[J].酿酒科技,2017:96-97,106.</w:t>
      </w:r>
    </w:p>
    <w:p w:rsidR="00A62706" w:rsidRDefault="00A62706" w:rsidP="00A62706">
      <w:r>
        <w:t xml:space="preserve">[2] </w:t>
      </w:r>
      <w:proofErr w:type="gramStart"/>
      <w:r>
        <w:t>卓义敏</w:t>
      </w:r>
      <w:proofErr w:type="gramEnd"/>
      <w:r>
        <w:t>;蒋敬全;赖开平.精酿啤酒的发展概述[J].酿酒科技,2022:4.</w:t>
      </w:r>
    </w:p>
    <w:p w:rsidR="00A62706" w:rsidRDefault="00A62706" w:rsidP="00A62706">
      <w:r>
        <w:t xml:space="preserve">[3] </w:t>
      </w:r>
      <w:r w:rsidR="001271B7" w:rsidRPr="001271B7">
        <w:t>丁勇,代春吉,</w:t>
      </w:r>
      <w:proofErr w:type="gramStart"/>
      <w:r w:rsidR="001271B7" w:rsidRPr="001271B7">
        <w:t>孙宏民</w:t>
      </w:r>
      <w:proofErr w:type="gramEnd"/>
      <w:r w:rsidR="001271B7" w:rsidRPr="001271B7">
        <w:t>.酿酒工艺学课程教学的改革与实践[J].教育教学论坛,2014(37):37-38.</w:t>
      </w:r>
    </w:p>
    <w:p w:rsidR="00A62706" w:rsidRDefault="00A62706" w:rsidP="00A62706">
      <w:r>
        <w:t xml:space="preserve">[4] </w:t>
      </w:r>
      <w:proofErr w:type="gramStart"/>
      <w:r>
        <w:t>姜素英</w:t>
      </w:r>
      <w:proofErr w:type="gramEnd"/>
      <w:r>
        <w:t>.影响我国精酿啤酒产业发展的因素及策略研究[J].食品安全导刊,2021:2(77-78).</w:t>
      </w:r>
    </w:p>
    <w:sectPr w:rsidR="00A627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927" w:rsidRDefault="00F94927" w:rsidP="001271B7">
      <w:r>
        <w:separator/>
      </w:r>
    </w:p>
  </w:endnote>
  <w:endnote w:type="continuationSeparator" w:id="0">
    <w:p w:rsidR="00F94927" w:rsidRDefault="00F94927" w:rsidP="0012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927" w:rsidRDefault="00F94927" w:rsidP="001271B7">
      <w:r>
        <w:separator/>
      </w:r>
    </w:p>
  </w:footnote>
  <w:footnote w:type="continuationSeparator" w:id="0">
    <w:p w:rsidR="00F94927" w:rsidRDefault="00F94927" w:rsidP="00127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201F"/>
    <w:multiLevelType w:val="hybridMultilevel"/>
    <w:tmpl w:val="F9748EC6"/>
    <w:lvl w:ilvl="0" w:tplc="400ED42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60E33D82"/>
    <w:multiLevelType w:val="hybridMultilevel"/>
    <w:tmpl w:val="AFE2F550"/>
    <w:lvl w:ilvl="0" w:tplc="06EAAA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725618B4"/>
    <w:multiLevelType w:val="hybridMultilevel"/>
    <w:tmpl w:val="EE56DA7E"/>
    <w:lvl w:ilvl="0" w:tplc="431622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CE"/>
    <w:rsid w:val="00051E35"/>
    <w:rsid w:val="00087134"/>
    <w:rsid w:val="001271B7"/>
    <w:rsid w:val="00181495"/>
    <w:rsid w:val="001D6B73"/>
    <w:rsid w:val="00204B20"/>
    <w:rsid w:val="00263FFA"/>
    <w:rsid w:val="0028085A"/>
    <w:rsid w:val="002865DD"/>
    <w:rsid w:val="002B14C1"/>
    <w:rsid w:val="003944A6"/>
    <w:rsid w:val="00453192"/>
    <w:rsid w:val="004A0F72"/>
    <w:rsid w:val="004B6907"/>
    <w:rsid w:val="004C74A3"/>
    <w:rsid w:val="00504030"/>
    <w:rsid w:val="005443F5"/>
    <w:rsid w:val="0055680C"/>
    <w:rsid w:val="00571F4D"/>
    <w:rsid w:val="0061410A"/>
    <w:rsid w:val="00630EF4"/>
    <w:rsid w:val="006439C4"/>
    <w:rsid w:val="006D56AF"/>
    <w:rsid w:val="006E2B4D"/>
    <w:rsid w:val="006F6B0D"/>
    <w:rsid w:val="00753735"/>
    <w:rsid w:val="00791AE1"/>
    <w:rsid w:val="00803813"/>
    <w:rsid w:val="00846FC2"/>
    <w:rsid w:val="00870F93"/>
    <w:rsid w:val="008745D8"/>
    <w:rsid w:val="00A62706"/>
    <w:rsid w:val="00AD0B97"/>
    <w:rsid w:val="00AE7C1C"/>
    <w:rsid w:val="00B316FF"/>
    <w:rsid w:val="00B7695F"/>
    <w:rsid w:val="00BB067B"/>
    <w:rsid w:val="00BE63D8"/>
    <w:rsid w:val="00C52C7C"/>
    <w:rsid w:val="00C77B1E"/>
    <w:rsid w:val="00CC0C57"/>
    <w:rsid w:val="00CD5EEA"/>
    <w:rsid w:val="00CE0DF1"/>
    <w:rsid w:val="00D97CCE"/>
    <w:rsid w:val="00DE03C8"/>
    <w:rsid w:val="00E338D8"/>
    <w:rsid w:val="00EA3738"/>
    <w:rsid w:val="00F24B16"/>
    <w:rsid w:val="00F32A38"/>
    <w:rsid w:val="00F709CF"/>
    <w:rsid w:val="00F9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698F3"/>
  <w15:chartTrackingRefBased/>
  <w15:docId w15:val="{2CF9D013-45E0-4A1B-8BF2-26FF6749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D97CCE"/>
    <w:pPr>
      <w:keepNext/>
      <w:widowControl/>
      <w:spacing w:before="240" w:after="60"/>
      <w:jc w:val="left"/>
      <w:outlineLvl w:val="1"/>
    </w:pPr>
    <w:rPr>
      <w:rFonts w:ascii="Arial" w:hAnsi="Arial" w:cs="Arial"/>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97CCE"/>
    <w:rPr>
      <w:rFonts w:ascii="Arial" w:hAnsi="Arial" w:cs="Arial"/>
      <w:b/>
      <w:bCs/>
      <w:i/>
      <w:iCs/>
      <w:kern w:val="0"/>
      <w:sz w:val="28"/>
      <w:szCs w:val="28"/>
      <w:lang w:eastAsia="en-US"/>
    </w:rPr>
  </w:style>
  <w:style w:type="paragraph" w:customStyle="1" w:styleId="content">
    <w:name w:val="content"/>
    <w:basedOn w:val="a"/>
    <w:rsid w:val="00D97CCE"/>
    <w:pPr>
      <w:widowControl/>
      <w:spacing w:line="450" w:lineRule="atLeast"/>
      <w:ind w:firstLine="480"/>
      <w:jc w:val="left"/>
    </w:pPr>
    <w:rPr>
      <w:rFonts w:ascii="Times New Roman" w:eastAsia="Times New Roman" w:hAnsi="Times New Roman" w:cs="Times New Roman"/>
      <w:color w:val="333333"/>
      <w:kern w:val="0"/>
      <w:sz w:val="24"/>
      <w:szCs w:val="24"/>
      <w:lang w:eastAsia="en-US"/>
    </w:rPr>
  </w:style>
  <w:style w:type="paragraph" w:styleId="a3">
    <w:name w:val="Balloon Text"/>
    <w:basedOn w:val="a"/>
    <w:link w:val="a4"/>
    <w:uiPriority w:val="99"/>
    <w:semiHidden/>
    <w:unhideWhenUsed/>
    <w:rsid w:val="00A62706"/>
    <w:rPr>
      <w:sz w:val="18"/>
      <w:szCs w:val="18"/>
    </w:rPr>
  </w:style>
  <w:style w:type="character" w:customStyle="1" w:styleId="a4">
    <w:name w:val="批注框文本 字符"/>
    <w:basedOn w:val="a0"/>
    <w:link w:val="a3"/>
    <w:uiPriority w:val="99"/>
    <w:semiHidden/>
    <w:rsid w:val="00A62706"/>
    <w:rPr>
      <w:sz w:val="18"/>
      <w:szCs w:val="18"/>
    </w:rPr>
  </w:style>
  <w:style w:type="paragraph" w:customStyle="1" w:styleId="1">
    <w:name w:val="列表段落1"/>
    <w:basedOn w:val="a"/>
    <w:rsid w:val="005443F5"/>
    <w:pPr>
      <w:spacing w:line="400" w:lineRule="exact"/>
      <w:ind w:firstLineChars="200" w:firstLine="420"/>
    </w:pPr>
    <w:rPr>
      <w:rFonts w:ascii="Calibri" w:eastAsia="宋体" w:hAnsi="Calibri" w:cs="Times New Roman"/>
    </w:rPr>
  </w:style>
  <w:style w:type="table" w:styleId="a5">
    <w:name w:val="Table Grid"/>
    <w:basedOn w:val="a1"/>
    <w:uiPriority w:val="39"/>
    <w:rsid w:val="0050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271B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271B7"/>
    <w:rPr>
      <w:sz w:val="18"/>
      <w:szCs w:val="18"/>
    </w:rPr>
  </w:style>
  <w:style w:type="paragraph" w:styleId="a8">
    <w:name w:val="footer"/>
    <w:basedOn w:val="a"/>
    <w:link w:val="a9"/>
    <w:uiPriority w:val="99"/>
    <w:unhideWhenUsed/>
    <w:rsid w:val="001271B7"/>
    <w:pPr>
      <w:tabs>
        <w:tab w:val="center" w:pos="4153"/>
        <w:tab w:val="right" w:pos="8306"/>
      </w:tabs>
      <w:snapToGrid w:val="0"/>
      <w:jc w:val="left"/>
    </w:pPr>
    <w:rPr>
      <w:sz w:val="18"/>
      <w:szCs w:val="18"/>
    </w:rPr>
  </w:style>
  <w:style w:type="character" w:customStyle="1" w:styleId="a9">
    <w:name w:val="页脚 字符"/>
    <w:basedOn w:val="a0"/>
    <w:link w:val="a8"/>
    <w:uiPriority w:val="99"/>
    <w:rsid w:val="00127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02561-D03F-47CB-BFFD-84B4F8F6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2023-10-12T07:38:00Z</dcterms:created>
  <dcterms:modified xsi:type="dcterms:W3CDTF">2023-10-12T07:40:00Z</dcterms:modified>
</cp:coreProperties>
</file>