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B8BF" w14:textId="27A1E20A" w:rsidR="00C43080" w:rsidRPr="00615533" w:rsidRDefault="00000000">
      <w:pPr>
        <w:jc w:val="center"/>
        <w:rPr>
          <w:rFonts w:ascii="宋体" w:eastAsia="宋体" w:hAnsi="宋体"/>
          <w:b/>
          <w:bCs/>
          <w:sz w:val="32"/>
          <w:szCs w:val="32"/>
        </w:rPr>
      </w:pPr>
      <w:r w:rsidRPr="00615533">
        <w:rPr>
          <w:rFonts w:ascii="宋体" w:eastAsia="宋体" w:hAnsi="宋体" w:hint="eastAsia"/>
          <w:b/>
          <w:bCs/>
          <w:sz w:val="32"/>
          <w:szCs w:val="32"/>
        </w:rPr>
        <w:t>一流本科课程建设视角下高等数学教学改革探究</w:t>
      </w:r>
    </w:p>
    <w:p w14:paraId="720F58A4" w14:textId="55FC6496" w:rsidR="00C43080" w:rsidRPr="00615533" w:rsidRDefault="00000000">
      <w:pPr>
        <w:jc w:val="center"/>
        <w:rPr>
          <w:rFonts w:ascii="宋体" w:eastAsia="宋体" w:hAnsi="宋体"/>
          <w:sz w:val="32"/>
          <w:szCs w:val="32"/>
          <w:vertAlign w:val="superscript"/>
        </w:rPr>
      </w:pPr>
      <w:r w:rsidRPr="00615533">
        <w:rPr>
          <w:rFonts w:ascii="宋体" w:eastAsia="宋体" w:hAnsi="宋体" w:hint="eastAsia"/>
          <w:sz w:val="32"/>
          <w:szCs w:val="32"/>
        </w:rPr>
        <w:t>吴</w:t>
      </w:r>
      <w:proofErr w:type="gramStart"/>
      <w:r w:rsidRPr="00615533">
        <w:rPr>
          <w:rFonts w:ascii="宋体" w:eastAsia="宋体" w:hAnsi="宋体" w:hint="eastAsia"/>
          <w:sz w:val="32"/>
          <w:szCs w:val="32"/>
        </w:rPr>
        <w:t>焚</w:t>
      </w:r>
      <w:proofErr w:type="gramEnd"/>
      <w:r w:rsidRPr="00615533">
        <w:rPr>
          <w:rFonts w:ascii="宋体" w:eastAsia="宋体" w:hAnsi="宋体" w:hint="eastAsia"/>
          <w:sz w:val="32"/>
          <w:szCs w:val="32"/>
        </w:rPr>
        <w:t>供</w:t>
      </w:r>
      <w:r w:rsidR="001A7BF0" w:rsidRPr="00615533">
        <w:rPr>
          <w:rFonts w:ascii="宋体" w:eastAsia="宋体" w:hAnsi="宋体" w:hint="eastAsia"/>
          <w:sz w:val="32"/>
          <w:szCs w:val="32"/>
        </w:rPr>
        <w:t>，苗春梅</w:t>
      </w:r>
    </w:p>
    <w:p w14:paraId="5B1C2B98" w14:textId="419D9A4C" w:rsidR="00615533" w:rsidRPr="00615533" w:rsidRDefault="00615533">
      <w:pPr>
        <w:jc w:val="center"/>
        <w:rPr>
          <w:rFonts w:ascii="宋体" w:eastAsia="宋体" w:hAnsi="宋体"/>
          <w:sz w:val="32"/>
          <w:szCs w:val="32"/>
        </w:rPr>
      </w:pPr>
      <w:r w:rsidRPr="00615533">
        <w:rPr>
          <w:rFonts w:ascii="宋体" w:eastAsia="宋体" w:hAnsi="宋体" w:hint="eastAsia"/>
          <w:sz w:val="32"/>
          <w:szCs w:val="32"/>
        </w:rPr>
        <w:t>广东第二师范学院数学学院</w:t>
      </w:r>
      <w:r>
        <w:rPr>
          <w:rFonts w:ascii="宋体" w:eastAsia="宋体" w:hAnsi="宋体" w:hint="eastAsia"/>
          <w:sz w:val="32"/>
          <w:szCs w:val="32"/>
        </w:rPr>
        <w:t xml:space="preserve"> 广东 广州 </w:t>
      </w:r>
      <w:r>
        <w:rPr>
          <w:rFonts w:ascii="宋体" w:eastAsia="宋体" w:hAnsi="宋体"/>
          <w:sz w:val="32"/>
          <w:szCs w:val="32"/>
        </w:rPr>
        <w:t>510303</w:t>
      </w:r>
    </w:p>
    <w:p w14:paraId="51C88317" w14:textId="6C4ABF2A" w:rsidR="00C43080" w:rsidRPr="00255340" w:rsidRDefault="00000000">
      <w:pPr>
        <w:jc w:val="left"/>
        <w:rPr>
          <w:sz w:val="32"/>
          <w:szCs w:val="32"/>
        </w:rPr>
      </w:pPr>
      <w:r w:rsidRPr="00255340">
        <w:rPr>
          <w:rFonts w:hint="eastAsia"/>
          <w:b/>
          <w:bCs/>
          <w:sz w:val="32"/>
          <w:szCs w:val="32"/>
        </w:rPr>
        <w:t xml:space="preserve"> 摘要：</w:t>
      </w:r>
      <w:r w:rsidR="008A3EF8" w:rsidRPr="00615533">
        <w:rPr>
          <w:rFonts w:ascii="华文楷体" w:eastAsia="华文楷体" w:hAnsi="华文楷体" w:hint="eastAsia"/>
          <w:sz w:val="32"/>
          <w:szCs w:val="32"/>
        </w:rPr>
        <w:t>针对</w:t>
      </w:r>
      <w:r w:rsidRPr="00615533">
        <w:rPr>
          <w:rFonts w:ascii="华文楷体" w:eastAsia="华文楷体" w:hAnsi="华文楷体" w:hint="eastAsia"/>
          <w:sz w:val="32"/>
          <w:szCs w:val="32"/>
        </w:rPr>
        <w:t>过程管理松散、教学方法单一、</w:t>
      </w:r>
      <w:proofErr w:type="gramStart"/>
      <w:r w:rsidRPr="00615533">
        <w:rPr>
          <w:rFonts w:ascii="华文楷体" w:eastAsia="华文楷体" w:hAnsi="华文楷体" w:hint="eastAsia"/>
          <w:sz w:val="32"/>
          <w:szCs w:val="32"/>
        </w:rPr>
        <w:t>课程思政融入</w:t>
      </w:r>
      <w:proofErr w:type="gramEnd"/>
      <w:r w:rsidRPr="00615533">
        <w:rPr>
          <w:rFonts w:ascii="华文楷体" w:eastAsia="华文楷体" w:hAnsi="华文楷体" w:hint="eastAsia"/>
          <w:sz w:val="32"/>
          <w:szCs w:val="32"/>
        </w:rPr>
        <w:t>方式过于简</w:t>
      </w:r>
      <w:r w:rsidR="006628B7" w:rsidRPr="00615533">
        <w:rPr>
          <w:rFonts w:ascii="华文楷体" w:eastAsia="华文楷体" w:hAnsi="华文楷体" w:hint="eastAsia"/>
          <w:sz w:val="32"/>
          <w:szCs w:val="32"/>
        </w:rPr>
        <w:t>单化</w:t>
      </w:r>
      <w:r w:rsidRPr="00615533">
        <w:rPr>
          <w:rFonts w:ascii="华文楷体" w:eastAsia="华文楷体" w:hAnsi="华文楷体" w:hint="eastAsia"/>
          <w:sz w:val="32"/>
          <w:szCs w:val="32"/>
        </w:rPr>
        <w:t>等</w:t>
      </w:r>
      <w:r w:rsidR="006628B7" w:rsidRPr="00615533">
        <w:rPr>
          <w:rFonts w:ascii="华文楷体" w:eastAsia="华文楷体" w:hAnsi="华文楷体" w:hint="eastAsia"/>
          <w:sz w:val="32"/>
          <w:szCs w:val="32"/>
        </w:rPr>
        <w:t>较为普遍的</w:t>
      </w:r>
      <w:r w:rsidRPr="00615533">
        <w:rPr>
          <w:rFonts w:ascii="华文楷体" w:eastAsia="华文楷体" w:hAnsi="华文楷体" w:hint="eastAsia"/>
          <w:sz w:val="32"/>
          <w:szCs w:val="32"/>
        </w:rPr>
        <w:t>问题，结合教学实践中的探索，</w:t>
      </w:r>
      <w:r w:rsidR="008A3EF8" w:rsidRPr="00615533">
        <w:rPr>
          <w:rFonts w:ascii="华文楷体" w:eastAsia="华文楷体" w:hAnsi="华文楷体" w:hint="eastAsia"/>
          <w:sz w:val="32"/>
          <w:szCs w:val="32"/>
        </w:rPr>
        <w:t>对标</w:t>
      </w:r>
      <w:r w:rsidRPr="00615533">
        <w:rPr>
          <w:rFonts w:ascii="华文楷体" w:eastAsia="华文楷体" w:hAnsi="华文楷体" w:hint="eastAsia"/>
          <w:sz w:val="32"/>
          <w:szCs w:val="32"/>
        </w:rPr>
        <w:t>一流</w:t>
      </w:r>
      <w:r w:rsidR="008A3EF8" w:rsidRPr="00615533">
        <w:rPr>
          <w:rFonts w:ascii="华文楷体" w:eastAsia="华文楷体" w:hAnsi="华文楷体" w:hint="eastAsia"/>
          <w:sz w:val="32"/>
          <w:szCs w:val="32"/>
        </w:rPr>
        <w:t>本科</w:t>
      </w:r>
      <w:r w:rsidRPr="00615533">
        <w:rPr>
          <w:rFonts w:ascii="华文楷体" w:eastAsia="华文楷体" w:hAnsi="华文楷体" w:hint="eastAsia"/>
          <w:sz w:val="32"/>
          <w:szCs w:val="32"/>
        </w:rPr>
        <w:t>课程建设的</w:t>
      </w:r>
      <w:r w:rsidR="008A3EF8" w:rsidRPr="00615533">
        <w:rPr>
          <w:rFonts w:ascii="华文楷体" w:eastAsia="华文楷体" w:hAnsi="华文楷体" w:hint="eastAsia"/>
          <w:sz w:val="32"/>
          <w:szCs w:val="32"/>
        </w:rPr>
        <w:t>要求</w:t>
      </w:r>
      <w:r w:rsidRPr="00615533">
        <w:rPr>
          <w:rFonts w:ascii="华文楷体" w:eastAsia="华文楷体" w:hAnsi="华文楷体" w:hint="eastAsia"/>
          <w:sz w:val="32"/>
          <w:szCs w:val="32"/>
        </w:rPr>
        <w:t>，</w:t>
      </w:r>
      <w:r w:rsidR="006628B7" w:rsidRPr="00615533">
        <w:rPr>
          <w:rFonts w:ascii="华文楷体" w:eastAsia="华文楷体" w:hAnsi="华文楷体" w:hint="eastAsia"/>
          <w:sz w:val="32"/>
          <w:szCs w:val="32"/>
        </w:rPr>
        <w:t>对</w:t>
      </w:r>
      <w:r w:rsidRPr="00615533">
        <w:rPr>
          <w:rFonts w:ascii="华文楷体" w:eastAsia="华文楷体" w:hAnsi="华文楷体" w:hint="eastAsia"/>
          <w:sz w:val="32"/>
          <w:szCs w:val="32"/>
        </w:rPr>
        <w:t>教学方式变革、信息技术融入课堂及教学过程管理、</w:t>
      </w:r>
      <w:proofErr w:type="gramStart"/>
      <w:r w:rsidRPr="00615533">
        <w:rPr>
          <w:rFonts w:ascii="华文楷体" w:eastAsia="华文楷体" w:hAnsi="华文楷体" w:hint="eastAsia"/>
          <w:sz w:val="32"/>
          <w:szCs w:val="32"/>
        </w:rPr>
        <w:t>课程思政</w:t>
      </w:r>
      <w:r w:rsidR="006628B7" w:rsidRPr="00615533">
        <w:rPr>
          <w:rFonts w:ascii="华文楷体" w:eastAsia="华文楷体" w:hAnsi="华文楷体" w:hint="eastAsia"/>
          <w:sz w:val="32"/>
          <w:szCs w:val="32"/>
        </w:rPr>
        <w:t>育人</w:t>
      </w:r>
      <w:proofErr w:type="gramEnd"/>
      <w:r w:rsidR="006628B7" w:rsidRPr="00615533">
        <w:rPr>
          <w:rFonts w:ascii="华文楷体" w:eastAsia="华文楷体" w:hAnsi="华文楷体" w:hint="eastAsia"/>
          <w:sz w:val="32"/>
          <w:szCs w:val="32"/>
        </w:rPr>
        <w:t>等三个方面提出了一些看法</w:t>
      </w:r>
      <w:r w:rsidRPr="00615533">
        <w:rPr>
          <w:rFonts w:ascii="华文楷体" w:eastAsia="华文楷体" w:hAnsi="华文楷体" w:hint="eastAsia"/>
          <w:sz w:val="32"/>
          <w:szCs w:val="32"/>
        </w:rPr>
        <w:t>。</w:t>
      </w:r>
    </w:p>
    <w:p w14:paraId="1459D868" w14:textId="77777777" w:rsidR="00C43080" w:rsidRPr="00255340" w:rsidRDefault="00000000">
      <w:pPr>
        <w:jc w:val="left"/>
        <w:rPr>
          <w:sz w:val="32"/>
          <w:szCs w:val="32"/>
        </w:rPr>
      </w:pPr>
      <w:r w:rsidRPr="00255340">
        <w:rPr>
          <w:rFonts w:hint="eastAsia"/>
          <w:b/>
          <w:bCs/>
          <w:sz w:val="32"/>
          <w:szCs w:val="32"/>
        </w:rPr>
        <w:t>关键词：</w:t>
      </w:r>
      <w:r w:rsidRPr="00255340">
        <w:rPr>
          <w:rFonts w:ascii="华文楷体" w:eastAsia="华文楷体" w:hAnsi="华文楷体" w:hint="eastAsia"/>
          <w:sz w:val="32"/>
          <w:szCs w:val="32"/>
        </w:rPr>
        <w:t>一流课程，高阶思维，有效互动，过程管理</w:t>
      </w:r>
    </w:p>
    <w:p w14:paraId="7EC4D2DE" w14:textId="1B0B2305" w:rsidR="00EE2D3B" w:rsidRPr="00255340" w:rsidRDefault="00EE2D3B">
      <w:pPr>
        <w:jc w:val="left"/>
        <w:rPr>
          <w:sz w:val="32"/>
          <w:szCs w:val="32"/>
        </w:rPr>
      </w:pPr>
      <w:r w:rsidRPr="00255340">
        <w:rPr>
          <w:rFonts w:hint="eastAsia"/>
          <w:b/>
          <w:bCs/>
          <w:sz w:val="32"/>
          <w:szCs w:val="32"/>
        </w:rPr>
        <w:t>中图分类号</w:t>
      </w:r>
      <w:r w:rsidRPr="00255340">
        <w:rPr>
          <w:rFonts w:hint="eastAsia"/>
          <w:sz w:val="32"/>
          <w:szCs w:val="32"/>
        </w:rPr>
        <w:t>：</w:t>
      </w:r>
      <w:r w:rsidR="00255340" w:rsidRPr="00255340">
        <w:rPr>
          <w:rFonts w:hint="eastAsia"/>
          <w:sz w:val="32"/>
          <w:szCs w:val="32"/>
        </w:rPr>
        <w:t>G642</w:t>
      </w:r>
    </w:p>
    <w:p w14:paraId="55CFD975" w14:textId="25564252" w:rsidR="00C43080" w:rsidRPr="00255340" w:rsidRDefault="00000000" w:rsidP="00467AB0">
      <w:pPr>
        <w:pStyle w:val="a8"/>
        <w:numPr>
          <w:ilvl w:val="0"/>
          <w:numId w:val="3"/>
        </w:numPr>
        <w:ind w:firstLineChars="0"/>
        <w:jc w:val="left"/>
        <w:rPr>
          <w:b/>
          <w:bCs/>
          <w:sz w:val="32"/>
          <w:szCs w:val="32"/>
        </w:rPr>
      </w:pPr>
      <w:r w:rsidRPr="00255340">
        <w:rPr>
          <w:rFonts w:hint="eastAsia"/>
          <w:b/>
          <w:bCs/>
          <w:sz w:val="32"/>
          <w:szCs w:val="32"/>
        </w:rPr>
        <w:t>引言</w:t>
      </w:r>
    </w:p>
    <w:p w14:paraId="404040B6" w14:textId="12EC6FCC" w:rsidR="001A7BF0" w:rsidRPr="00255340" w:rsidRDefault="00000000" w:rsidP="001A7BF0">
      <w:pPr>
        <w:ind w:firstLineChars="200" w:firstLine="640"/>
        <w:rPr>
          <w:sz w:val="32"/>
          <w:szCs w:val="32"/>
        </w:rPr>
      </w:pPr>
      <w:r w:rsidRPr="00255340">
        <w:rPr>
          <w:rFonts w:ascii="宋体" w:hAnsi="宋体" w:hint="eastAsia"/>
          <w:sz w:val="32"/>
          <w:szCs w:val="32"/>
        </w:rPr>
        <w:t>当前社会发展“数字化”，学科发展“数学化”的趋势明显，高等学校非数学专业的数学教育在我国大学人才培养中的重要性格外突出。</w:t>
      </w:r>
      <w:r w:rsidRPr="00255340">
        <w:rPr>
          <w:rFonts w:ascii="宋体" w:hAnsi="宋体" w:hint="eastAsia"/>
          <w:sz w:val="32"/>
          <w:szCs w:val="32"/>
        </w:rPr>
        <w:t>2021</w:t>
      </w:r>
      <w:r w:rsidRPr="00255340">
        <w:rPr>
          <w:rFonts w:ascii="宋体" w:hAnsi="宋体" w:hint="eastAsia"/>
          <w:sz w:val="32"/>
          <w:szCs w:val="32"/>
        </w:rPr>
        <w:t>年</w:t>
      </w:r>
      <w:r w:rsidRPr="00255340">
        <w:rPr>
          <w:rFonts w:ascii="宋体" w:hAnsi="宋体" w:hint="eastAsia"/>
          <w:sz w:val="32"/>
          <w:szCs w:val="32"/>
        </w:rPr>
        <w:t>7</w:t>
      </w:r>
      <w:r w:rsidRPr="00255340">
        <w:rPr>
          <w:rFonts w:ascii="宋体" w:hAnsi="宋体" w:hint="eastAsia"/>
          <w:sz w:val="32"/>
          <w:szCs w:val="32"/>
        </w:rPr>
        <w:t>月</w:t>
      </w:r>
      <w:r w:rsidRPr="00255340">
        <w:rPr>
          <w:rFonts w:ascii="宋体" w:hAnsi="宋体" w:hint="eastAsia"/>
          <w:sz w:val="32"/>
          <w:szCs w:val="32"/>
        </w:rPr>
        <w:t>19</w:t>
      </w:r>
      <w:r w:rsidRPr="00255340">
        <w:rPr>
          <w:rFonts w:ascii="宋体" w:hAnsi="宋体" w:hint="eastAsia"/>
          <w:sz w:val="32"/>
          <w:szCs w:val="32"/>
        </w:rPr>
        <w:t>日李克强总理在考察国家自然科学基金委员会时</w:t>
      </w:r>
      <w:r w:rsidR="006628B7" w:rsidRPr="00255340">
        <w:rPr>
          <w:rFonts w:ascii="宋体" w:hAnsi="宋体" w:hint="eastAsia"/>
          <w:sz w:val="32"/>
          <w:szCs w:val="32"/>
        </w:rPr>
        <w:t>提出</w:t>
      </w:r>
      <w:r w:rsidRPr="00255340">
        <w:rPr>
          <w:rFonts w:ascii="宋体" w:hAnsi="宋体" w:hint="eastAsia"/>
          <w:sz w:val="32"/>
          <w:szCs w:val="32"/>
        </w:rPr>
        <w:t>要加强基础研究，要提高学校数理化生等基础学科教育水平，培养更多的基础研究人才，并强调要重视数学教育。从实现科技强国的角度来看，“高等数学”教学对提高国民数学素养尤为重要。此外，从</w:t>
      </w:r>
      <w:proofErr w:type="gramStart"/>
      <w:r w:rsidRPr="00255340">
        <w:rPr>
          <w:rFonts w:ascii="宋体" w:hAnsi="宋体" w:hint="eastAsia"/>
          <w:sz w:val="32"/>
          <w:szCs w:val="32"/>
        </w:rPr>
        <w:t>课程思政的</w:t>
      </w:r>
      <w:proofErr w:type="gramEnd"/>
      <w:r w:rsidRPr="00255340">
        <w:rPr>
          <w:rFonts w:ascii="宋体" w:hAnsi="宋体" w:hint="eastAsia"/>
          <w:sz w:val="32"/>
          <w:szCs w:val="32"/>
        </w:rPr>
        <w:t>角度来看，作为非数学专业普遍开设的公共必修课程的“高等数学”，面向学生众多且学时较长，其影响可谓人</w:t>
      </w:r>
      <w:r w:rsidRPr="00255340">
        <w:rPr>
          <w:rFonts w:ascii="宋体" w:hAnsi="宋体" w:hint="eastAsia"/>
          <w:sz w:val="32"/>
          <w:szCs w:val="32"/>
        </w:rPr>
        <w:lastRenderedPageBreak/>
        <w:t>多面广。</w:t>
      </w:r>
      <w:r w:rsidRPr="00255340">
        <w:rPr>
          <w:rFonts w:hint="eastAsia"/>
          <w:sz w:val="32"/>
          <w:szCs w:val="32"/>
        </w:rPr>
        <w:t>在</w:t>
      </w:r>
      <w:proofErr w:type="gramStart"/>
      <w:r w:rsidRPr="00255340">
        <w:rPr>
          <w:rFonts w:hint="eastAsia"/>
          <w:sz w:val="32"/>
          <w:szCs w:val="32"/>
        </w:rPr>
        <w:t>课程思政建设</w:t>
      </w:r>
      <w:proofErr w:type="gramEnd"/>
      <w:r w:rsidRPr="00255340">
        <w:rPr>
          <w:rFonts w:hint="eastAsia"/>
          <w:sz w:val="32"/>
          <w:szCs w:val="32"/>
        </w:rPr>
        <w:t>大背景下</w:t>
      </w:r>
      <w:r w:rsidR="001A7BF0" w:rsidRPr="00255340">
        <w:rPr>
          <w:rFonts w:hint="eastAsia"/>
          <w:sz w:val="32"/>
          <w:szCs w:val="32"/>
        </w:rPr>
        <w:t>教育部2</w:t>
      </w:r>
      <w:r w:rsidR="001A7BF0" w:rsidRPr="00255340">
        <w:rPr>
          <w:sz w:val="32"/>
          <w:szCs w:val="32"/>
        </w:rPr>
        <w:t>020</w:t>
      </w:r>
      <w:r w:rsidR="001A7BF0" w:rsidRPr="00255340">
        <w:rPr>
          <w:rFonts w:hint="eastAsia"/>
          <w:sz w:val="32"/>
          <w:szCs w:val="32"/>
        </w:rPr>
        <w:t>年印发的《高等学校课程思政建设指导纲要》（</w:t>
      </w:r>
      <w:proofErr w:type="gramStart"/>
      <w:r w:rsidR="001A7BF0" w:rsidRPr="00255340">
        <w:rPr>
          <w:rFonts w:hint="eastAsia"/>
          <w:sz w:val="32"/>
          <w:szCs w:val="32"/>
        </w:rPr>
        <w:t>教高</w:t>
      </w:r>
      <w:proofErr w:type="gramEnd"/>
      <w:r w:rsidR="001A7BF0" w:rsidRPr="00255340">
        <w:rPr>
          <w:rFonts w:hint="eastAsia"/>
          <w:sz w:val="32"/>
          <w:szCs w:val="32"/>
        </w:rPr>
        <w:t>[2020] 3号）</w:t>
      </w:r>
      <w:r w:rsidR="001A7BF0" w:rsidRPr="00255340">
        <w:rPr>
          <w:rFonts w:hint="eastAsia"/>
          <w:sz w:val="32"/>
          <w:szCs w:val="32"/>
          <w:vertAlign w:val="superscript"/>
        </w:rPr>
        <w:t>[</w:t>
      </w:r>
      <w:r w:rsidR="001A7BF0" w:rsidRPr="00255340">
        <w:rPr>
          <w:sz w:val="32"/>
          <w:szCs w:val="32"/>
          <w:vertAlign w:val="superscript"/>
        </w:rPr>
        <w:t>2]</w:t>
      </w:r>
      <w:r w:rsidR="001A7BF0" w:rsidRPr="00255340">
        <w:rPr>
          <w:rFonts w:hint="eastAsia"/>
          <w:sz w:val="32"/>
          <w:szCs w:val="32"/>
        </w:rPr>
        <w:t>明确指出</w:t>
      </w:r>
      <w:r w:rsidRPr="00255340">
        <w:rPr>
          <w:rFonts w:hint="eastAsia"/>
          <w:sz w:val="32"/>
          <w:szCs w:val="32"/>
        </w:rPr>
        <w:t>，对师范院校来说必须找准育人角度，挖掘“高等数学”中的</w:t>
      </w:r>
      <w:proofErr w:type="gramStart"/>
      <w:r w:rsidRPr="00255340">
        <w:rPr>
          <w:rFonts w:hint="eastAsia"/>
          <w:sz w:val="32"/>
          <w:szCs w:val="32"/>
        </w:rPr>
        <w:t>课程思政元素</w:t>
      </w:r>
      <w:proofErr w:type="gramEnd"/>
      <w:r w:rsidRPr="00255340">
        <w:rPr>
          <w:rFonts w:hint="eastAsia"/>
          <w:sz w:val="32"/>
          <w:szCs w:val="32"/>
        </w:rPr>
        <w:t>，与时俱进革新教学观念和方法，建设融入</w:t>
      </w:r>
      <w:proofErr w:type="gramStart"/>
      <w:r w:rsidRPr="00255340">
        <w:rPr>
          <w:rFonts w:hint="eastAsia"/>
          <w:sz w:val="32"/>
          <w:szCs w:val="32"/>
        </w:rPr>
        <w:t>课程思政元素</w:t>
      </w:r>
      <w:proofErr w:type="gramEnd"/>
      <w:r w:rsidRPr="00255340">
        <w:rPr>
          <w:rFonts w:hint="eastAsia"/>
          <w:sz w:val="32"/>
          <w:szCs w:val="32"/>
        </w:rPr>
        <w:t>的教学资源，将知识传授、能力培养与价值观塑造紧密结合，在提高数学素养的同时形成正确的价值观，充分落实全方位育人，立德树人的根本任务</w:t>
      </w:r>
      <w:r w:rsidR="001A7BF0" w:rsidRPr="00255340">
        <w:rPr>
          <w:rFonts w:hint="eastAsia"/>
          <w:sz w:val="32"/>
          <w:szCs w:val="32"/>
        </w:rPr>
        <w:t>。</w:t>
      </w:r>
    </w:p>
    <w:p w14:paraId="34B69E61" w14:textId="23364711" w:rsidR="00C43080" w:rsidRPr="00255340" w:rsidRDefault="00000000" w:rsidP="001A7BF0">
      <w:pPr>
        <w:ind w:firstLineChars="200" w:firstLine="640"/>
        <w:rPr>
          <w:sz w:val="32"/>
          <w:szCs w:val="32"/>
        </w:rPr>
      </w:pPr>
      <w:r w:rsidRPr="00255340">
        <w:rPr>
          <w:rFonts w:hint="eastAsia"/>
          <w:sz w:val="32"/>
          <w:szCs w:val="32"/>
        </w:rPr>
        <w:t>针对新时代对人才教育和培养提出的新的要求，“高等数学”的教学改革极为迫切。2</w:t>
      </w:r>
      <w:r w:rsidRPr="00255340">
        <w:rPr>
          <w:sz w:val="32"/>
          <w:szCs w:val="32"/>
        </w:rPr>
        <w:t>019</w:t>
      </w:r>
      <w:r w:rsidRPr="00255340">
        <w:rPr>
          <w:rFonts w:hint="eastAsia"/>
          <w:sz w:val="32"/>
          <w:szCs w:val="32"/>
        </w:rPr>
        <w:t>年1</w:t>
      </w:r>
      <w:r w:rsidRPr="00255340">
        <w:rPr>
          <w:sz w:val="32"/>
          <w:szCs w:val="32"/>
        </w:rPr>
        <w:t>0</w:t>
      </w:r>
      <w:r w:rsidRPr="00255340">
        <w:rPr>
          <w:rFonts w:hint="eastAsia"/>
          <w:sz w:val="32"/>
          <w:szCs w:val="32"/>
        </w:rPr>
        <w:t>月教育部关于一流本科课程建设的实施意见（教高（2</w:t>
      </w:r>
      <w:r w:rsidRPr="00255340">
        <w:rPr>
          <w:sz w:val="32"/>
          <w:szCs w:val="32"/>
        </w:rPr>
        <w:t>019</w:t>
      </w:r>
      <w:r w:rsidRPr="00255340">
        <w:rPr>
          <w:rFonts w:hint="eastAsia"/>
          <w:sz w:val="32"/>
          <w:szCs w:val="32"/>
        </w:rPr>
        <w:t>）8号）</w:t>
      </w:r>
      <w:r w:rsidR="009E038C" w:rsidRPr="00255340">
        <w:rPr>
          <w:rFonts w:hint="eastAsia"/>
          <w:sz w:val="32"/>
          <w:szCs w:val="32"/>
          <w:vertAlign w:val="superscript"/>
        </w:rPr>
        <w:t>[</w:t>
      </w:r>
      <w:r w:rsidR="009E038C" w:rsidRPr="00255340">
        <w:rPr>
          <w:sz w:val="32"/>
          <w:szCs w:val="32"/>
          <w:vertAlign w:val="superscript"/>
        </w:rPr>
        <w:t>1]</w:t>
      </w:r>
      <w:r w:rsidRPr="00255340">
        <w:rPr>
          <w:rFonts w:hint="eastAsia"/>
          <w:sz w:val="32"/>
          <w:szCs w:val="32"/>
        </w:rPr>
        <w:t>中指出课程是人才培养核心要素，必须深化教育教学改革，将教学改革成果落实到课程建设上来。课程建设的基本原则要求依据高校人才培养类型和目标的不同分类的进行，强调要提升高阶性，突出创新性、增加挑战度，即“两性一度”。课程建设内容上特别强调要求以目标为导向，改革教学方法，使课堂活跃起来；要求科学评价，使学生忙起来。基于一流本科课程建设的基本原则，广东第二师范学院（以下简称我校）结合自身师范院校的特点开展了“高等数学”课程改革和建设的实践与探索。</w:t>
      </w:r>
    </w:p>
    <w:p w14:paraId="5CE6C362" w14:textId="4F34E8C7" w:rsidR="00C43080" w:rsidRPr="00255340" w:rsidRDefault="00000000" w:rsidP="00E130C0">
      <w:pPr>
        <w:rPr>
          <w:sz w:val="32"/>
          <w:szCs w:val="32"/>
        </w:rPr>
      </w:pPr>
      <w:r w:rsidRPr="00255340">
        <w:rPr>
          <w:rFonts w:hint="eastAsia"/>
          <w:b/>
          <w:bCs/>
          <w:sz w:val="32"/>
          <w:szCs w:val="32"/>
        </w:rPr>
        <w:t>2.</w:t>
      </w:r>
      <w:r w:rsidR="00E130C0" w:rsidRPr="00255340">
        <w:rPr>
          <w:b/>
          <w:bCs/>
          <w:sz w:val="32"/>
          <w:szCs w:val="32"/>
        </w:rPr>
        <w:t xml:space="preserve"> </w:t>
      </w:r>
      <w:r w:rsidRPr="00255340">
        <w:rPr>
          <w:rFonts w:hint="eastAsia"/>
          <w:b/>
          <w:bCs/>
          <w:sz w:val="32"/>
          <w:szCs w:val="32"/>
        </w:rPr>
        <w:t>加强教学过程管理，通过线上、线下的融合来促进课前、课中、课后的融合。</w:t>
      </w:r>
    </w:p>
    <w:p w14:paraId="1BE25FC5" w14:textId="77777777" w:rsidR="00C43080" w:rsidRPr="00255340" w:rsidRDefault="00000000" w:rsidP="00E130C0">
      <w:pPr>
        <w:ind w:firstLineChars="200" w:firstLine="640"/>
        <w:rPr>
          <w:sz w:val="32"/>
          <w:szCs w:val="32"/>
        </w:rPr>
      </w:pPr>
      <w:r w:rsidRPr="00255340">
        <w:rPr>
          <w:rFonts w:hint="eastAsia"/>
          <w:sz w:val="32"/>
          <w:szCs w:val="32"/>
        </w:rPr>
        <w:t>为了提高师范类院校高等数学教学的效果和学生的学</w:t>
      </w:r>
      <w:r w:rsidRPr="00255340">
        <w:rPr>
          <w:rFonts w:hint="eastAsia"/>
          <w:sz w:val="32"/>
          <w:szCs w:val="32"/>
        </w:rPr>
        <w:lastRenderedPageBreak/>
        <w:t>习体验，加强教学过程的管理是至关重要的。通过线上和线下的融合，可以有效促进课前、课中和课后的融合，提升教学的连贯性和学习的深度。下面将从课前、课中和课后三个阶段展开具体论述。</w:t>
      </w:r>
    </w:p>
    <w:p w14:paraId="5680C1E3" w14:textId="640FDFF7" w:rsidR="00C43080" w:rsidRPr="00255340" w:rsidRDefault="00E130C0">
      <w:pPr>
        <w:ind w:firstLineChars="300" w:firstLine="960"/>
        <w:rPr>
          <w:sz w:val="32"/>
          <w:szCs w:val="32"/>
        </w:rPr>
      </w:pPr>
      <w:r w:rsidRPr="00255340">
        <w:rPr>
          <w:rFonts w:hint="eastAsia"/>
          <w:sz w:val="32"/>
          <w:szCs w:val="32"/>
        </w:rPr>
        <w:t>（1）在课前，教师可以通过线上平台提供预习材料和习题，引导学生在课前进行自主学习。例如，教师可以在在线教学平台上上传教学视频，讲解重要概念和解题方法，让学生提前了解课程内容。此外，还可以设计在线讨论区或论坛，鼓励学生在课前进行问题交流和讨论，激发学生的思考和学习兴趣。通过线上平台的支持，学生可以根据自身时间和学习进度，在任何时间、任何地点进行学习，提前做好准备。</w:t>
      </w:r>
    </w:p>
    <w:p w14:paraId="249AF995" w14:textId="6F0D67D2" w:rsidR="00C43080" w:rsidRPr="00255340" w:rsidRDefault="00E130C0">
      <w:pPr>
        <w:ind w:firstLineChars="300" w:firstLine="960"/>
        <w:rPr>
          <w:sz w:val="32"/>
          <w:szCs w:val="32"/>
        </w:rPr>
      </w:pPr>
      <w:r w:rsidRPr="00255340">
        <w:rPr>
          <w:rFonts w:hint="eastAsia"/>
          <w:sz w:val="32"/>
          <w:szCs w:val="32"/>
        </w:rPr>
        <w:t>（2）在课中，教师可以运用线上和线下相结合的方式，提供多样化的教学活动，增加课堂的互动性和趣味性。例如，教师可以在课堂上组织小组讨论，让学生合作解决问题，并通过线上投影或屏幕共享展示各组的解决思路和答案。同时，教师可以借助在线投票工具，收集学生的观点和意见，促进课堂氛围的活跃和学生参与度的提升。另外，教师还可以在课堂上利用电子白板或在线练习平台，进行实时的演示和练习，帮助学生巩固知识，解决疑惑。</w:t>
      </w:r>
    </w:p>
    <w:p w14:paraId="686593FB" w14:textId="64092603" w:rsidR="00C43080" w:rsidRPr="00255340" w:rsidRDefault="00E130C0">
      <w:pPr>
        <w:ind w:firstLineChars="300" w:firstLine="960"/>
        <w:rPr>
          <w:sz w:val="32"/>
          <w:szCs w:val="32"/>
        </w:rPr>
      </w:pPr>
      <w:r w:rsidRPr="00255340">
        <w:rPr>
          <w:rFonts w:hint="eastAsia"/>
          <w:sz w:val="32"/>
          <w:szCs w:val="32"/>
        </w:rPr>
        <w:t>（3）在课后，教师可以通过线上平台提供课后作业和学习资源，帮助学生巩固所学知识并拓展学习深度。例</w:t>
      </w:r>
      <w:r w:rsidRPr="00255340">
        <w:rPr>
          <w:rFonts w:hint="eastAsia"/>
          <w:sz w:val="32"/>
          <w:szCs w:val="32"/>
        </w:rPr>
        <w:lastRenderedPageBreak/>
        <w:t>如，教师可以在在线教学平台上发布作业和习题，鼓励学生独立完成，并设立在线答疑时间，解答学生在作业中遇到的问题。此外，教师还可以为学生提供在线学习资源，如教学视频、电子书籍、学习资料等，供学生在课后进行自主学习和进一步探究。通过线上平台的支持，学生可以随时随地进行复习和巩固，提高学习效果。</w:t>
      </w:r>
    </w:p>
    <w:p w14:paraId="1EF7DF76" w14:textId="45A16972" w:rsidR="00C43080" w:rsidRPr="00255340" w:rsidRDefault="00000000" w:rsidP="00E130C0">
      <w:pPr>
        <w:ind w:firstLineChars="300" w:firstLine="960"/>
        <w:rPr>
          <w:sz w:val="32"/>
          <w:szCs w:val="32"/>
        </w:rPr>
      </w:pPr>
      <w:r w:rsidRPr="00255340">
        <w:rPr>
          <w:rFonts w:hint="eastAsia"/>
          <w:sz w:val="32"/>
          <w:szCs w:val="32"/>
        </w:rPr>
        <w:t>加强教学过程管理，通过线上、线下的融合来促进课前、课中、课后的融合是提升师范类院校高等数学教学效果的有效途径。通过线上平台的支持，教师可以提供丰富的教学资源和活动，引导学生进行自主学习和探究，增强课堂的互动性和趣味性。同时，学生可以根据自身时间和学习进度进行学习，提高学习效率。这种线上线下融合的教学模式将促进教学与学习的紧密衔接，提升学生的学习动力和学习成效。</w:t>
      </w:r>
    </w:p>
    <w:p w14:paraId="264481E4" w14:textId="77777777" w:rsidR="00C43080" w:rsidRPr="00255340" w:rsidRDefault="00000000">
      <w:pPr>
        <w:numPr>
          <w:ilvl w:val="0"/>
          <w:numId w:val="2"/>
        </w:numPr>
        <w:jc w:val="left"/>
        <w:rPr>
          <w:b/>
          <w:bCs/>
          <w:sz w:val="32"/>
          <w:szCs w:val="32"/>
        </w:rPr>
      </w:pPr>
      <w:r w:rsidRPr="00255340">
        <w:rPr>
          <w:rFonts w:hint="eastAsia"/>
          <w:b/>
          <w:bCs/>
          <w:sz w:val="32"/>
          <w:szCs w:val="32"/>
        </w:rPr>
        <w:t>改革教学方法，提课堂互动的有效性，落实以学生为中心的探究性学习，提升学习的高阶性。</w:t>
      </w:r>
    </w:p>
    <w:p w14:paraId="2D37E15E" w14:textId="01A07006" w:rsidR="00C43080" w:rsidRPr="00255340" w:rsidRDefault="00000000">
      <w:pPr>
        <w:ind w:firstLineChars="300" w:firstLine="960"/>
        <w:jc w:val="left"/>
        <w:rPr>
          <w:sz w:val="32"/>
          <w:szCs w:val="32"/>
        </w:rPr>
      </w:pPr>
      <w:r w:rsidRPr="00255340">
        <w:rPr>
          <w:rFonts w:hint="eastAsia"/>
          <w:sz w:val="32"/>
          <w:szCs w:val="32"/>
        </w:rPr>
        <w:t>改革教学方法是提升教学效果和学生学习能力的关键。为了落实以学生为中心的探究性学习，提升学习的高阶性，课堂互动的有效性成为重要的教学手段。</w:t>
      </w:r>
      <w:r w:rsidR="00D73C82" w:rsidRPr="00255340">
        <w:rPr>
          <w:rFonts w:hint="eastAsia"/>
          <w:sz w:val="32"/>
          <w:szCs w:val="32"/>
        </w:rPr>
        <w:t>教学实践中</w:t>
      </w:r>
      <w:r w:rsidR="00467AB0" w:rsidRPr="00255340">
        <w:rPr>
          <w:rFonts w:hint="eastAsia"/>
          <w:sz w:val="32"/>
          <w:szCs w:val="32"/>
        </w:rPr>
        <w:t>我们主要从一下四个方面来加强互动的有效性、提升学习的高价性以实现学生为主体的探究性学习</w:t>
      </w:r>
      <w:r w:rsidRPr="00255340">
        <w:rPr>
          <w:rFonts w:hint="eastAsia"/>
          <w:sz w:val="32"/>
          <w:szCs w:val="32"/>
        </w:rPr>
        <w:t>。</w:t>
      </w:r>
    </w:p>
    <w:p w14:paraId="53CDAF4F" w14:textId="1C65C1C5" w:rsidR="00C43080" w:rsidRPr="00255340" w:rsidRDefault="00E130C0">
      <w:pPr>
        <w:ind w:firstLineChars="300" w:firstLine="960"/>
        <w:jc w:val="left"/>
        <w:rPr>
          <w:sz w:val="32"/>
          <w:szCs w:val="32"/>
        </w:rPr>
      </w:pPr>
      <w:r w:rsidRPr="00255340">
        <w:rPr>
          <w:rFonts w:hint="eastAsia"/>
          <w:sz w:val="32"/>
          <w:szCs w:val="32"/>
        </w:rPr>
        <w:t>（1）以问题为导向促进课堂的有效互动。</w:t>
      </w:r>
      <w:r w:rsidR="00C21986" w:rsidRPr="00255340">
        <w:rPr>
          <w:rFonts w:hint="eastAsia"/>
          <w:sz w:val="32"/>
          <w:szCs w:val="32"/>
        </w:rPr>
        <w:t>问题是数</w:t>
      </w:r>
      <w:r w:rsidR="00C21986" w:rsidRPr="00255340">
        <w:rPr>
          <w:rFonts w:hint="eastAsia"/>
          <w:sz w:val="32"/>
          <w:szCs w:val="32"/>
        </w:rPr>
        <w:lastRenderedPageBreak/>
        <w:t>学的心脏，解决问题就是创新的过程。</w:t>
      </w:r>
      <w:r w:rsidR="00C21986" w:rsidRPr="00255340">
        <w:rPr>
          <w:rFonts w:hint="eastAsia"/>
          <w:sz w:val="32"/>
          <w:szCs w:val="32"/>
          <w:vertAlign w:val="superscript"/>
        </w:rPr>
        <w:t>[</w:t>
      </w:r>
      <w:r w:rsidR="00C21986" w:rsidRPr="00255340">
        <w:rPr>
          <w:sz w:val="32"/>
          <w:szCs w:val="32"/>
          <w:vertAlign w:val="superscript"/>
        </w:rPr>
        <w:t>5]</w:t>
      </w:r>
      <w:r w:rsidRPr="00255340">
        <w:rPr>
          <w:rFonts w:hint="eastAsia"/>
          <w:sz w:val="32"/>
          <w:szCs w:val="32"/>
        </w:rPr>
        <w:t>传统的教学方式往往是教师讲解，学生被动接受。而通过以问题为导向的教学方法，可以激发学生的思维和兴趣，促进课堂的有效互动。教师可以在</w:t>
      </w:r>
      <w:proofErr w:type="gramStart"/>
      <w:r w:rsidRPr="00255340">
        <w:rPr>
          <w:rFonts w:hint="eastAsia"/>
          <w:sz w:val="32"/>
          <w:szCs w:val="32"/>
        </w:rPr>
        <w:t>课前提</w:t>
      </w:r>
      <w:proofErr w:type="gramEnd"/>
      <w:r w:rsidRPr="00255340">
        <w:rPr>
          <w:rFonts w:hint="eastAsia"/>
          <w:sz w:val="32"/>
          <w:szCs w:val="32"/>
        </w:rPr>
        <w:t>出一个问题或情境，引导学生在课堂上进行讨论和探究。例如，在高等数学中，教师可以提出一个实际问题，如“如何确定一条曲线的最大斜率点？”学生可以通过分析和运用相关知识进行探索和解决，与教师和同学进行交流和分享。通过这种问题导向的互动，学生可以积极参与，培养解决问题的能力和高阶思维。</w:t>
      </w:r>
    </w:p>
    <w:p w14:paraId="14CB5393" w14:textId="2B779264" w:rsidR="00C43080" w:rsidRPr="00255340" w:rsidRDefault="00E130C0">
      <w:pPr>
        <w:ind w:firstLineChars="300" w:firstLine="960"/>
        <w:jc w:val="left"/>
        <w:rPr>
          <w:sz w:val="32"/>
          <w:szCs w:val="32"/>
        </w:rPr>
      </w:pPr>
      <w:r w:rsidRPr="00255340">
        <w:rPr>
          <w:rFonts w:hint="eastAsia"/>
          <w:sz w:val="32"/>
          <w:szCs w:val="32"/>
        </w:rPr>
        <w:t>（2）作业的布置推动研究性学习的开展。传统的作业往往是教师布置一些练习题，学生完成后提交即可。然而，为了推动研究性学习的开展，作业的布置也需要打破常规。教师可以设计一些大作业，要求学生进行深入的调研和研究性学习。例如，在高等数学中，教师可以要求学生选择一个实际问题，运用所学的数学知识进行建模和分析，并提出解决方案。学生在完成作业的过程中，需要进行信息收集、数据分析、模型构建等高阶思维活动。通过这样的作业布置，学生将充分发挥主动性和创造性，培养问题解决和研究能力。</w:t>
      </w:r>
    </w:p>
    <w:p w14:paraId="7F1BFAD3" w14:textId="48D448E3" w:rsidR="00C43080" w:rsidRPr="00255340" w:rsidRDefault="00E130C0" w:rsidP="00E130C0">
      <w:pPr>
        <w:ind w:firstLineChars="300" w:firstLine="960"/>
        <w:jc w:val="left"/>
        <w:rPr>
          <w:sz w:val="32"/>
          <w:szCs w:val="32"/>
        </w:rPr>
      </w:pPr>
      <w:r w:rsidRPr="00255340">
        <w:rPr>
          <w:rFonts w:hint="eastAsia"/>
          <w:sz w:val="32"/>
          <w:szCs w:val="32"/>
        </w:rPr>
        <w:t>（3）利用信息化平台手段促进互评与反馈。为了提升课堂互动的有效性，教师可以利用信息化平台手段，如在线讨论区或社交平台，进行学生之间的互评和交流。学</w:t>
      </w:r>
      <w:r w:rsidRPr="00255340">
        <w:rPr>
          <w:rFonts w:hint="eastAsia"/>
          <w:sz w:val="32"/>
          <w:szCs w:val="32"/>
        </w:rPr>
        <w:lastRenderedPageBreak/>
        <w:t>生可以将自己的研究成果或解题过程发布在平台上，其他同学可以进行评价和讨论。通过互评的方式，学生可以从他人的观点和思路中获得启发，拓宽思维的广度和深度。同时，教师也可以及时给予学生反馈和指导，引导他们更好地理解和应用数学知识。</w:t>
      </w:r>
    </w:p>
    <w:p w14:paraId="6F7268AF" w14:textId="00A43807" w:rsidR="00C43080" w:rsidRPr="00255340" w:rsidRDefault="00E130C0">
      <w:pPr>
        <w:ind w:firstLineChars="300" w:firstLine="960"/>
        <w:jc w:val="left"/>
        <w:rPr>
          <w:sz w:val="32"/>
          <w:szCs w:val="32"/>
        </w:rPr>
      </w:pPr>
      <w:r w:rsidRPr="00255340">
        <w:rPr>
          <w:rFonts w:hint="eastAsia"/>
          <w:sz w:val="32"/>
          <w:szCs w:val="32"/>
        </w:rPr>
        <w:t>（4）复习总结的重要环节。复习总结是教学的重要环节，也是加强教学过程管理的一部分。传统的复习往往是重点知识点的回顾，而在改革的教学方法中，复习应注重思维的梳理和知识的延伸。教师可以设计一些综合性的复习题目，要求学生将多个知识点进行联结和运用。例如，在高等数学中，教师可以提出一</w:t>
      </w:r>
      <w:r w:rsidR="006628B7" w:rsidRPr="00255340">
        <w:rPr>
          <w:rFonts w:hint="eastAsia"/>
          <w:sz w:val="32"/>
          <w:szCs w:val="32"/>
        </w:rPr>
        <w:t>些如：数列极限的计算方法有哪些？</w:t>
      </w:r>
      <w:r w:rsidR="009F2314" w:rsidRPr="00255340">
        <w:rPr>
          <w:rFonts w:hint="eastAsia"/>
          <w:sz w:val="32"/>
          <w:szCs w:val="32"/>
        </w:rPr>
        <w:t>被积函数奇偶性及积分区域对称性在二重积分计算中的作用如何？这类具有</w:t>
      </w:r>
      <w:r w:rsidRPr="00255340">
        <w:rPr>
          <w:rFonts w:hint="eastAsia"/>
          <w:sz w:val="32"/>
          <w:szCs w:val="32"/>
        </w:rPr>
        <w:t>综合性的问题，要求学生结合多个章节的知识，进行分析和解决。学生需要运用高阶思维的能力，将所学的知识进行整合和拓展，</w:t>
      </w:r>
      <w:r w:rsidR="009F2314" w:rsidRPr="00255340">
        <w:rPr>
          <w:rFonts w:hint="eastAsia"/>
          <w:sz w:val="32"/>
          <w:szCs w:val="32"/>
        </w:rPr>
        <w:t>可以</w:t>
      </w:r>
      <w:r w:rsidRPr="00255340">
        <w:rPr>
          <w:rFonts w:hint="eastAsia"/>
          <w:sz w:val="32"/>
          <w:szCs w:val="32"/>
        </w:rPr>
        <w:t>培养综合思考和应用能力。</w:t>
      </w:r>
    </w:p>
    <w:p w14:paraId="1327017B" w14:textId="77777777" w:rsidR="00C43080" w:rsidRPr="00255340" w:rsidRDefault="00000000">
      <w:pPr>
        <w:ind w:firstLineChars="300" w:firstLine="960"/>
        <w:jc w:val="left"/>
        <w:rPr>
          <w:b/>
          <w:bCs/>
          <w:sz w:val="32"/>
          <w:szCs w:val="32"/>
        </w:rPr>
      </w:pPr>
      <w:r w:rsidRPr="00255340">
        <w:rPr>
          <w:rFonts w:hint="eastAsia"/>
          <w:sz w:val="32"/>
          <w:szCs w:val="32"/>
        </w:rPr>
        <w:t>综上所述，通过改革教学方法，提课堂互动的有效性，落实以学生为中心的探究性学习，可以提升学生学习的高阶性。通过问题导向的教学、研究性学习的推动、信息化平台的互评与反馈，以及综合性的复习总结，学生能够培养高阶思维能力，掌握知识的运用和拓展。这种改革的教学方法将有效提升学生的学习兴趣和学习能力，使教</w:t>
      </w:r>
      <w:r w:rsidRPr="00255340">
        <w:rPr>
          <w:rFonts w:hint="eastAsia"/>
          <w:sz w:val="32"/>
          <w:szCs w:val="32"/>
        </w:rPr>
        <w:lastRenderedPageBreak/>
        <w:t>学更加富有成效和有意义。</w:t>
      </w:r>
    </w:p>
    <w:p w14:paraId="5A70818E" w14:textId="0E307D90" w:rsidR="00C43080" w:rsidRPr="00255340" w:rsidRDefault="00467AB0" w:rsidP="00467AB0">
      <w:pPr>
        <w:pStyle w:val="a8"/>
        <w:numPr>
          <w:ilvl w:val="0"/>
          <w:numId w:val="2"/>
        </w:numPr>
        <w:ind w:firstLineChars="0"/>
        <w:jc w:val="left"/>
        <w:rPr>
          <w:b/>
          <w:bCs/>
          <w:sz w:val="32"/>
          <w:szCs w:val="32"/>
        </w:rPr>
      </w:pPr>
      <w:r w:rsidRPr="00255340">
        <w:rPr>
          <w:rFonts w:hint="eastAsia"/>
          <w:b/>
          <w:bCs/>
          <w:sz w:val="32"/>
          <w:szCs w:val="32"/>
        </w:rPr>
        <w:t>融入课程</w:t>
      </w:r>
      <w:proofErr w:type="gramStart"/>
      <w:r w:rsidRPr="00255340">
        <w:rPr>
          <w:rFonts w:hint="eastAsia"/>
          <w:b/>
          <w:bCs/>
          <w:sz w:val="32"/>
          <w:szCs w:val="32"/>
        </w:rPr>
        <w:t>思政落实</w:t>
      </w:r>
      <w:proofErr w:type="gramEnd"/>
      <w:r w:rsidRPr="00255340">
        <w:rPr>
          <w:rFonts w:hint="eastAsia"/>
          <w:b/>
          <w:bCs/>
          <w:sz w:val="32"/>
          <w:szCs w:val="32"/>
        </w:rPr>
        <w:t>全方位育人、立德树人的根本任务。</w:t>
      </w:r>
    </w:p>
    <w:p w14:paraId="2927156E" w14:textId="1F7A732B" w:rsidR="00C43080" w:rsidRPr="00255340" w:rsidRDefault="00C21986" w:rsidP="00C21986">
      <w:pPr>
        <w:pStyle w:val="a8"/>
        <w:ind w:firstLine="640"/>
        <w:jc w:val="left"/>
        <w:rPr>
          <w:sz w:val="32"/>
          <w:szCs w:val="32"/>
        </w:rPr>
      </w:pPr>
      <w:r w:rsidRPr="00255340">
        <w:rPr>
          <w:rFonts w:hint="eastAsia"/>
          <w:sz w:val="32"/>
          <w:szCs w:val="32"/>
        </w:rPr>
        <w:t>高等数学中的许多知识和方法都蕴含着丰富的哲学思想。</w:t>
      </w:r>
      <w:r w:rsidRPr="00255340">
        <w:rPr>
          <w:rFonts w:hint="eastAsia"/>
          <w:sz w:val="32"/>
          <w:szCs w:val="32"/>
          <w:vertAlign w:val="superscript"/>
        </w:rPr>
        <w:t>[</w:t>
      </w:r>
      <w:r w:rsidRPr="00255340">
        <w:rPr>
          <w:sz w:val="32"/>
          <w:szCs w:val="32"/>
          <w:vertAlign w:val="superscript"/>
        </w:rPr>
        <w:t>4]</w:t>
      </w:r>
      <w:r w:rsidRPr="00255340">
        <w:rPr>
          <w:rFonts w:hint="eastAsia"/>
          <w:sz w:val="32"/>
          <w:szCs w:val="32"/>
        </w:rPr>
        <w:t>例如，曲边梯形面积的计算、有界和连续这些概念中局部与整体的关系，有限与无限的关系，近似与精确的关系等等，都蕴含着一分为二，对立统一的辩证唯物主义思想。这些知识和方法都是价值观引领很好的素材。通过将思想政治教育融入高等数学教学中，可以培养学生的思想道德素养、社会责任感和创新意识。</w:t>
      </w:r>
      <w:proofErr w:type="gramStart"/>
      <w:r w:rsidR="004D03A1" w:rsidRPr="00255340">
        <w:rPr>
          <w:rFonts w:hint="eastAsia"/>
          <w:sz w:val="32"/>
          <w:szCs w:val="32"/>
        </w:rPr>
        <w:t>思政元素</w:t>
      </w:r>
      <w:proofErr w:type="gramEnd"/>
      <w:r w:rsidR="004D03A1" w:rsidRPr="00255340">
        <w:rPr>
          <w:rFonts w:hint="eastAsia"/>
          <w:sz w:val="32"/>
          <w:szCs w:val="32"/>
        </w:rPr>
        <w:t>及恰当融入方式的选择是高等数学</w:t>
      </w:r>
      <w:proofErr w:type="gramStart"/>
      <w:r w:rsidR="004D03A1" w:rsidRPr="00255340">
        <w:rPr>
          <w:rFonts w:hint="eastAsia"/>
          <w:sz w:val="32"/>
          <w:szCs w:val="32"/>
        </w:rPr>
        <w:t>课程思政的</w:t>
      </w:r>
      <w:proofErr w:type="gramEnd"/>
      <w:r w:rsidR="004D03A1" w:rsidRPr="00255340">
        <w:rPr>
          <w:rFonts w:hint="eastAsia"/>
          <w:sz w:val="32"/>
          <w:szCs w:val="32"/>
        </w:rPr>
        <w:t>关键所在，实际教学中我们主要从以下三个方面来</w:t>
      </w:r>
      <w:proofErr w:type="gramStart"/>
      <w:r w:rsidR="004D03A1" w:rsidRPr="00255340">
        <w:rPr>
          <w:rFonts w:hint="eastAsia"/>
          <w:sz w:val="32"/>
          <w:szCs w:val="32"/>
        </w:rPr>
        <w:t>开展思政融入</w:t>
      </w:r>
      <w:proofErr w:type="gramEnd"/>
      <w:r w:rsidR="004D03A1" w:rsidRPr="00255340">
        <w:rPr>
          <w:rFonts w:hint="eastAsia"/>
          <w:sz w:val="32"/>
          <w:szCs w:val="32"/>
        </w:rPr>
        <w:t>。</w:t>
      </w:r>
    </w:p>
    <w:p w14:paraId="5B6DE591" w14:textId="15DBD75C" w:rsidR="00C43080" w:rsidRPr="00255340" w:rsidRDefault="0011622A" w:rsidP="0011622A">
      <w:pPr>
        <w:ind w:firstLineChars="200" w:firstLine="640"/>
        <w:jc w:val="left"/>
        <w:rPr>
          <w:sz w:val="32"/>
          <w:szCs w:val="32"/>
        </w:rPr>
      </w:pPr>
      <w:r w:rsidRPr="00255340">
        <w:rPr>
          <w:rFonts w:hint="eastAsia"/>
          <w:sz w:val="32"/>
          <w:szCs w:val="32"/>
        </w:rPr>
        <w:t>（1）</w:t>
      </w:r>
      <w:proofErr w:type="gramStart"/>
      <w:r w:rsidRPr="00255340">
        <w:rPr>
          <w:rFonts w:hint="eastAsia"/>
          <w:sz w:val="32"/>
          <w:szCs w:val="32"/>
        </w:rPr>
        <w:t>课程思政在</w:t>
      </w:r>
      <w:proofErr w:type="gramEnd"/>
      <w:r w:rsidRPr="00255340">
        <w:rPr>
          <w:rFonts w:hint="eastAsia"/>
          <w:sz w:val="32"/>
          <w:szCs w:val="32"/>
        </w:rPr>
        <w:t>具体知识</w:t>
      </w:r>
      <w:proofErr w:type="gramStart"/>
      <w:r w:rsidRPr="00255340">
        <w:rPr>
          <w:rFonts w:hint="eastAsia"/>
          <w:sz w:val="32"/>
          <w:szCs w:val="32"/>
        </w:rPr>
        <w:t>点教学</w:t>
      </w:r>
      <w:proofErr w:type="gramEnd"/>
      <w:r w:rsidRPr="00255340">
        <w:rPr>
          <w:rFonts w:hint="eastAsia"/>
          <w:sz w:val="32"/>
          <w:szCs w:val="32"/>
        </w:rPr>
        <w:t>中的体现。在高等数学教学中，每个具体的知识点都可以成为</w:t>
      </w:r>
      <w:proofErr w:type="gramStart"/>
      <w:r w:rsidRPr="00255340">
        <w:rPr>
          <w:rFonts w:hint="eastAsia"/>
          <w:sz w:val="32"/>
          <w:szCs w:val="32"/>
        </w:rPr>
        <w:t>课程思政的</w:t>
      </w:r>
      <w:proofErr w:type="gramEnd"/>
      <w:r w:rsidRPr="00255340">
        <w:rPr>
          <w:rFonts w:hint="eastAsia"/>
          <w:sz w:val="32"/>
          <w:szCs w:val="32"/>
        </w:rPr>
        <w:t>载体，通过对知识点的深入讲解和引导，潜移默化地培养学生的思想道德观念和价值观。例如，在讲解数列时，可以引导学生思考数列的发展规律与社会的发展规律之间的联系，让学生意识到个体的努力与社会的进步息息相关；在</w:t>
      </w:r>
      <w:r w:rsidR="004D03A1" w:rsidRPr="00255340">
        <w:rPr>
          <w:rFonts w:hint="eastAsia"/>
          <w:sz w:val="32"/>
          <w:szCs w:val="32"/>
        </w:rPr>
        <w:t>定积分概念时</w:t>
      </w:r>
      <w:r w:rsidRPr="00255340">
        <w:rPr>
          <w:rFonts w:hint="eastAsia"/>
          <w:sz w:val="32"/>
          <w:szCs w:val="32"/>
        </w:rPr>
        <w:t>，可以引导学生思考</w:t>
      </w:r>
      <w:r w:rsidR="004D03A1" w:rsidRPr="00255340">
        <w:rPr>
          <w:rFonts w:hint="eastAsia"/>
          <w:sz w:val="32"/>
          <w:szCs w:val="32"/>
        </w:rPr>
        <w:t>量变与质变、局部与整体、近似与精确的矛盾的对立与统一的辩证思维</w:t>
      </w:r>
      <w:r w:rsidRPr="00255340">
        <w:rPr>
          <w:rFonts w:hint="eastAsia"/>
          <w:sz w:val="32"/>
          <w:szCs w:val="32"/>
        </w:rPr>
        <w:t>。此外知识点中涉及到的数学史上的数学家及数学发展的事件都是进行民族自信、科学精神、社会奉献</w:t>
      </w:r>
      <w:proofErr w:type="gramStart"/>
      <w:r w:rsidRPr="00255340">
        <w:rPr>
          <w:rFonts w:hint="eastAsia"/>
          <w:sz w:val="32"/>
          <w:szCs w:val="32"/>
        </w:rPr>
        <w:t>等思政教育</w:t>
      </w:r>
      <w:proofErr w:type="gramEnd"/>
      <w:r w:rsidRPr="00255340">
        <w:rPr>
          <w:rFonts w:hint="eastAsia"/>
          <w:sz w:val="32"/>
          <w:szCs w:val="32"/>
        </w:rPr>
        <w:t>的良好素材。具体知识</w:t>
      </w:r>
      <w:proofErr w:type="gramStart"/>
      <w:r w:rsidRPr="00255340">
        <w:rPr>
          <w:rFonts w:hint="eastAsia"/>
          <w:sz w:val="32"/>
          <w:szCs w:val="32"/>
        </w:rPr>
        <w:t>点教学</w:t>
      </w:r>
      <w:proofErr w:type="gramEnd"/>
      <w:r w:rsidRPr="00255340">
        <w:rPr>
          <w:rFonts w:hint="eastAsia"/>
          <w:sz w:val="32"/>
          <w:szCs w:val="32"/>
        </w:rPr>
        <w:t>中的体现的更详细情况可参考表格1。</w:t>
      </w:r>
    </w:p>
    <w:p w14:paraId="220CC5E4" w14:textId="234A2A7B" w:rsidR="00C43080" w:rsidRPr="00255340" w:rsidRDefault="00E130C0">
      <w:pPr>
        <w:pStyle w:val="a8"/>
        <w:ind w:firstLine="640"/>
        <w:jc w:val="left"/>
        <w:rPr>
          <w:sz w:val="32"/>
          <w:szCs w:val="32"/>
        </w:rPr>
      </w:pPr>
      <w:r w:rsidRPr="00255340">
        <w:rPr>
          <w:rFonts w:hint="eastAsia"/>
          <w:sz w:val="32"/>
          <w:szCs w:val="32"/>
        </w:rPr>
        <w:lastRenderedPageBreak/>
        <w:t>（2）</w:t>
      </w:r>
      <w:proofErr w:type="gramStart"/>
      <w:r w:rsidRPr="00255340">
        <w:rPr>
          <w:rFonts w:hint="eastAsia"/>
          <w:sz w:val="32"/>
          <w:szCs w:val="32"/>
        </w:rPr>
        <w:t>课程思政在</w:t>
      </w:r>
      <w:proofErr w:type="gramEnd"/>
      <w:r w:rsidRPr="00255340">
        <w:rPr>
          <w:rFonts w:hint="eastAsia"/>
          <w:sz w:val="32"/>
          <w:szCs w:val="32"/>
        </w:rPr>
        <w:t>课堂教学中的落实。在课堂教学中，教师可以通过引导学生进行思考、讨论和互动，积极培养学生的思辨能力和创新精神。例如，在讲解极限概念时，教师可以引导学生思考数学极限与人生追求的关系，让学生认识到在追求梦想的道路上需要坚持不懈、不断超越自我；在讲解微分和积分时，教师可以引导学生思考数学思维的灵活性和多样性，让学生明白在解决实际问题时需要多方面的思考和方法的运用。关于</w:t>
      </w:r>
      <w:proofErr w:type="gramStart"/>
      <w:r w:rsidRPr="00255340">
        <w:rPr>
          <w:rFonts w:hint="eastAsia"/>
          <w:sz w:val="32"/>
          <w:szCs w:val="32"/>
        </w:rPr>
        <w:t>课程思政在</w:t>
      </w:r>
      <w:proofErr w:type="gramEnd"/>
      <w:r w:rsidRPr="00255340">
        <w:rPr>
          <w:rFonts w:hint="eastAsia"/>
          <w:sz w:val="32"/>
          <w:szCs w:val="32"/>
        </w:rPr>
        <w:t>课堂教学中的落实的更详细情况可参考表格1。</w:t>
      </w:r>
    </w:p>
    <w:p w14:paraId="5F1089FA" w14:textId="146DF619" w:rsidR="00C43080" w:rsidRPr="00255340" w:rsidRDefault="00E130C0">
      <w:pPr>
        <w:pStyle w:val="a8"/>
        <w:ind w:firstLineChars="300" w:firstLine="960"/>
        <w:jc w:val="left"/>
        <w:rPr>
          <w:sz w:val="32"/>
          <w:szCs w:val="32"/>
        </w:rPr>
      </w:pPr>
      <w:r w:rsidRPr="00255340">
        <w:rPr>
          <w:rFonts w:hint="eastAsia"/>
          <w:sz w:val="32"/>
          <w:szCs w:val="32"/>
        </w:rPr>
        <w:t>（3）</w:t>
      </w:r>
      <w:proofErr w:type="gramStart"/>
      <w:r w:rsidRPr="00255340">
        <w:rPr>
          <w:rFonts w:hint="eastAsia"/>
          <w:sz w:val="32"/>
          <w:szCs w:val="32"/>
        </w:rPr>
        <w:t>课程思政在</w:t>
      </w:r>
      <w:proofErr w:type="gramEnd"/>
      <w:r w:rsidRPr="00255340">
        <w:rPr>
          <w:rFonts w:hint="eastAsia"/>
          <w:sz w:val="32"/>
          <w:szCs w:val="32"/>
        </w:rPr>
        <w:t>学生作业和评价中的体现。在学生作业和评价方面，可以通过设计相应的任务和标准，引导学生将课程所学的数学知识与社会现实相结合，培养学生的责任感和创新意识。例如，在作业中布置一个综合性的题目，要求学生运用所学的数学知识解决一个实际问题，同时思考问题背后的道德和社会责任；在评价中除了考察学生的数学</w:t>
      </w:r>
      <w:r w:rsidR="00271BC0" w:rsidRPr="00255340">
        <w:rPr>
          <w:rFonts w:hint="eastAsia"/>
          <w:sz w:val="32"/>
          <w:szCs w:val="32"/>
        </w:rPr>
        <w:t>应用</w:t>
      </w:r>
      <w:r w:rsidRPr="00255340">
        <w:rPr>
          <w:rFonts w:hint="eastAsia"/>
          <w:sz w:val="32"/>
          <w:szCs w:val="32"/>
        </w:rPr>
        <w:t>和</w:t>
      </w:r>
      <w:r w:rsidR="00271BC0" w:rsidRPr="00255340">
        <w:rPr>
          <w:rFonts w:hint="eastAsia"/>
          <w:sz w:val="32"/>
          <w:szCs w:val="32"/>
        </w:rPr>
        <w:t>逻辑</w:t>
      </w:r>
      <w:r w:rsidRPr="00255340">
        <w:rPr>
          <w:rFonts w:hint="eastAsia"/>
          <w:sz w:val="32"/>
          <w:szCs w:val="32"/>
        </w:rPr>
        <w:t>能力外，还可以结合思想政治教育的要求，对学生的</w:t>
      </w:r>
      <w:r w:rsidR="00271BC0" w:rsidRPr="00255340">
        <w:rPr>
          <w:rFonts w:hint="eastAsia"/>
          <w:sz w:val="32"/>
          <w:szCs w:val="32"/>
        </w:rPr>
        <w:t>价值观</w:t>
      </w:r>
      <w:r w:rsidRPr="00255340">
        <w:rPr>
          <w:rFonts w:hint="eastAsia"/>
          <w:sz w:val="32"/>
          <w:szCs w:val="32"/>
        </w:rPr>
        <w:t>和</w:t>
      </w:r>
      <w:r w:rsidR="00271BC0" w:rsidRPr="00255340">
        <w:rPr>
          <w:rFonts w:hint="eastAsia"/>
          <w:sz w:val="32"/>
          <w:szCs w:val="32"/>
        </w:rPr>
        <w:t>科学精神</w:t>
      </w:r>
      <w:r w:rsidRPr="00255340">
        <w:rPr>
          <w:rFonts w:hint="eastAsia"/>
          <w:sz w:val="32"/>
          <w:szCs w:val="32"/>
        </w:rPr>
        <w:t>进行评价。</w:t>
      </w:r>
    </w:p>
    <w:tbl>
      <w:tblPr>
        <w:tblStyle w:val="a7"/>
        <w:tblW w:w="0" w:type="auto"/>
        <w:tblLook w:val="04A0" w:firstRow="1" w:lastRow="0" w:firstColumn="1" w:lastColumn="0" w:noHBand="0" w:noVBand="1"/>
      </w:tblPr>
      <w:tblGrid>
        <w:gridCol w:w="2130"/>
        <w:gridCol w:w="2130"/>
        <w:gridCol w:w="2131"/>
        <w:gridCol w:w="2131"/>
      </w:tblGrid>
      <w:tr w:rsidR="00C43080" w:rsidRPr="00255340" w14:paraId="148952E9" w14:textId="77777777">
        <w:tc>
          <w:tcPr>
            <w:tcW w:w="2130" w:type="dxa"/>
            <w:vAlign w:val="bottom"/>
          </w:tcPr>
          <w:p w14:paraId="188A26F8" w14:textId="77777777" w:rsidR="00C43080" w:rsidRPr="00255340" w:rsidRDefault="00000000">
            <w:pPr>
              <w:widowControl/>
              <w:spacing w:line="21" w:lineRule="atLeast"/>
              <w:jc w:val="center"/>
              <w:textAlignment w:val="bottom"/>
              <w:rPr>
                <w:sz w:val="32"/>
                <w:szCs w:val="32"/>
              </w:rPr>
            </w:pPr>
            <w:r w:rsidRPr="00255340">
              <w:rPr>
                <w:rFonts w:ascii="Segoe UI" w:eastAsia="Segoe UI" w:hAnsi="Segoe UI" w:cs="Segoe UI"/>
                <w:b/>
                <w:bCs/>
                <w:color w:val="374151"/>
                <w:kern w:val="0"/>
                <w:sz w:val="32"/>
                <w:szCs w:val="32"/>
                <w:lang w:bidi="ar"/>
              </w:rPr>
              <w:t>知识点</w:t>
            </w:r>
          </w:p>
        </w:tc>
        <w:tc>
          <w:tcPr>
            <w:tcW w:w="2130" w:type="dxa"/>
            <w:vAlign w:val="bottom"/>
          </w:tcPr>
          <w:p w14:paraId="0705C832" w14:textId="77777777" w:rsidR="00C43080" w:rsidRPr="00255340" w:rsidRDefault="00000000">
            <w:pPr>
              <w:widowControl/>
              <w:spacing w:line="21" w:lineRule="atLeast"/>
              <w:jc w:val="center"/>
              <w:textAlignment w:val="bottom"/>
              <w:rPr>
                <w:sz w:val="32"/>
                <w:szCs w:val="32"/>
              </w:rPr>
            </w:pPr>
            <w:r w:rsidRPr="00255340">
              <w:rPr>
                <w:rFonts w:ascii="Segoe UI" w:eastAsia="Segoe UI" w:hAnsi="Segoe UI" w:cs="Segoe UI"/>
                <w:b/>
                <w:bCs/>
                <w:color w:val="374151"/>
                <w:kern w:val="0"/>
                <w:sz w:val="32"/>
                <w:szCs w:val="32"/>
                <w:lang w:bidi="ar"/>
              </w:rPr>
              <w:t>课程</w:t>
            </w:r>
            <w:proofErr w:type="gramStart"/>
            <w:r w:rsidRPr="00255340">
              <w:rPr>
                <w:rFonts w:ascii="Segoe UI" w:eastAsia="Segoe UI" w:hAnsi="Segoe UI" w:cs="Segoe UI"/>
                <w:b/>
                <w:bCs/>
                <w:color w:val="374151"/>
                <w:kern w:val="0"/>
                <w:sz w:val="32"/>
                <w:szCs w:val="32"/>
                <w:lang w:bidi="ar"/>
              </w:rPr>
              <w:t>思政内容</w:t>
            </w:r>
            <w:proofErr w:type="gramEnd"/>
          </w:p>
        </w:tc>
        <w:tc>
          <w:tcPr>
            <w:tcW w:w="2131" w:type="dxa"/>
            <w:vAlign w:val="bottom"/>
          </w:tcPr>
          <w:p w14:paraId="03DDE050" w14:textId="77777777" w:rsidR="00C43080" w:rsidRPr="00255340" w:rsidRDefault="00000000">
            <w:pPr>
              <w:widowControl/>
              <w:spacing w:line="21" w:lineRule="atLeast"/>
              <w:jc w:val="center"/>
              <w:textAlignment w:val="bottom"/>
              <w:rPr>
                <w:sz w:val="32"/>
                <w:szCs w:val="32"/>
              </w:rPr>
            </w:pPr>
            <w:r w:rsidRPr="00255340">
              <w:rPr>
                <w:rFonts w:ascii="Segoe UI" w:eastAsia="Segoe UI" w:hAnsi="Segoe UI" w:cs="Segoe UI"/>
                <w:b/>
                <w:bCs/>
                <w:color w:val="374151"/>
                <w:kern w:val="0"/>
                <w:sz w:val="32"/>
                <w:szCs w:val="32"/>
                <w:lang w:bidi="ar"/>
              </w:rPr>
              <w:t>落实方式</w:t>
            </w:r>
          </w:p>
        </w:tc>
        <w:tc>
          <w:tcPr>
            <w:tcW w:w="2131" w:type="dxa"/>
            <w:vAlign w:val="bottom"/>
          </w:tcPr>
          <w:p w14:paraId="71F30EBD" w14:textId="77777777" w:rsidR="00C43080" w:rsidRPr="00255340" w:rsidRDefault="00000000">
            <w:pPr>
              <w:widowControl/>
              <w:spacing w:line="21" w:lineRule="atLeast"/>
              <w:jc w:val="center"/>
              <w:textAlignment w:val="bottom"/>
              <w:rPr>
                <w:sz w:val="32"/>
                <w:szCs w:val="32"/>
              </w:rPr>
            </w:pPr>
            <w:r w:rsidRPr="00255340">
              <w:rPr>
                <w:rFonts w:ascii="Segoe UI" w:eastAsia="Segoe UI" w:hAnsi="Segoe UI" w:cs="Segoe UI"/>
                <w:b/>
                <w:bCs/>
                <w:color w:val="374151"/>
                <w:kern w:val="0"/>
                <w:sz w:val="32"/>
                <w:szCs w:val="32"/>
                <w:lang w:bidi="ar"/>
              </w:rPr>
              <w:t>教学目标</w:t>
            </w:r>
          </w:p>
        </w:tc>
      </w:tr>
      <w:tr w:rsidR="00C43080" w:rsidRPr="00255340" w14:paraId="398E44AF" w14:textId="77777777">
        <w:tc>
          <w:tcPr>
            <w:tcW w:w="2130" w:type="dxa"/>
          </w:tcPr>
          <w:p w14:paraId="733E7DF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极限概念</w:t>
            </w:r>
          </w:p>
        </w:tc>
        <w:tc>
          <w:tcPr>
            <w:tcW w:w="2130" w:type="dxa"/>
          </w:tcPr>
          <w:p w14:paraId="3F74992C"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引导学生思考数学极限与人生追求的关系</w:t>
            </w:r>
          </w:p>
        </w:tc>
        <w:tc>
          <w:tcPr>
            <w:tcW w:w="2131" w:type="dxa"/>
          </w:tcPr>
          <w:p w14:paraId="7724F86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在讲解极限概念时，引导学生思考数学极限与人生追求的</w:t>
            </w:r>
            <w:r w:rsidRPr="00255340">
              <w:rPr>
                <w:rFonts w:ascii="Segoe UI" w:eastAsia="Segoe UI" w:hAnsi="Segoe UI" w:cs="Segoe UI"/>
                <w:color w:val="374151"/>
                <w:kern w:val="0"/>
                <w:sz w:val="32"/>
                <w:szCs w:val="32"/>
                <w:lang w:bidi="ar"/>
              </w:rPr>
              <w:lastRenderedPageBreak/>
              <w:t>关系</w:t>
            </w:r>
          </w:p>
        </w:tc>
        <w:tc>
          <w:tcPr>
            <w:tcW w:w="2131" w:type="dxa"/>
          </w:tcPr>
          <w:p w14:paraId="605BB727"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lastRenderedPageBreak/>
              <w:t>培养学生的坚持不懈和超越自我的意识</w:t>
            </w:r>
          </w:p>
        </w:tc>
      </w:tr>
      <w:tr w:rsidR="00C43080" w:rsidRPr="00255340" w14:paraId="069FAE4C" w14:textId="77777777">
        <w:tc>
          <w:tcPr>
            <w:tcW w:w="2130" w:type="dxa"/>
          </w:tcPr>
          <w:p w14:paraId="21EDCE89"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微分和积分</w:t>
            </w:r>
          </w:p>
        </w:tc>
        <w:tc>
          <w:tcPr>
            <w:tcW w:w="2130" w:type="dxa"/>
          </w:tcPr>
          <w:p w14:paraId="3B1912E5"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引导学生思考数学思维的灵活性和多样性</w:t>
            </w:r>
          </w:p>
        </w:tc>
        <w:tc>
          <w:tcPr>
            <w:tcW w:w="2131" w:type="dxa"/>
          </w:tcPr>
          <w:p w14:paraId="4BF6ACB7"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在讲解微分和积分时，引导学生思考数学思维的灵活性和多样性</w:t>
            </w:r>
          </w:p>
        </w:tc>
        <w:tc>
          <w:tcPr>
            <w:tcW w:w="2131" w:type="dxa"/>
          </w:tcPr>
          <w:p w14:paraId="514CB3E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培养学生的多方面思考和方法运用能力</w:t>
            </w:r>
          </w:p>
        </w:tc>
      </w:tr>
      <w:tr w:rsidR="00C43080" w:rsidRPr="00255340" w14:paraId="77416477" w14:textId="77777777">
        <w:tc>
          <w:tcPr>
            <w:tcW w:w="2130" w:type="dxa"/>
          </w:tcPr>
          <w:p w14:paraId="36EE3E40"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数列</w:t>
            </w:r>
          </w:p>
        </w:tc>
        <w:tc>
          <w:tcPr>
            <w:tcW w:w="2130" w:type="dxa"/>
          </w:tcPr>
          <w:p w14:paraId="6CD6F045"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引导学生思考数列的发展规律与社会的发展规律的联系</w:t>
            </w:r>
          </w:p>
        </w:tc>
        <w:tc>
          <w:tcPr>
            <w:tcW w:w="2131" w:type="dxa"/>
          </w:tcPr>
          <w:p w14:paraId="0CCC6ACD"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在讲解数列时，引导学生思考数列的发展规律与社会的发展规律的联系</w:t>
            </w:r>
          </w:p>
        </w:tc>
        <w:tc>
          <w:tcPr>
            <w:tcW w:w="2131" w:type="dxa"/>
          </w:tcPr>
          <w:p w14:paraId="1929E4F6"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培养学生的社会责任感和意识</w:t>
            </w:r>
          </w:p>
        </w:tc>
      </w:tr>
      <w:tr w:rsidR="00C43080" w:rsidRPr="00255340" w14:paraId="4711F2B8" w14:textId="77777777">
        <w:tc>
          <w:tcPr>
            <w:tcW w:w="2130" w:type="dxa"/>
          </w:tcPr>
          <w:p w14:paraId="22B824CA"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具体积分计算与应用</w:t>
            </w:r>
          </w:p>
        </w:tc>
        <w:tc>
          <w:tcPr>
            <w:tcW w:w="2130" w:type="dxa"/>
          </w:tcPr>
          <w:p w14:paraId="0D682118"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引导学生思考具体积分计算与实际问题的关系</w:t>
            </w:r>
          </w:p>
        </w:tc>
        <w:tc>
          <w:tcPr>
            <w:tcW w:w="2131" w:type="dxa"/>
          </w:tcPr>
          <w:p w14:paraId="6ECA42AC"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在讲解具体积分计算与应用时，引导学生思考具体积分计算与实际问题的关系</w:t>
            </w:r>
          </w:p>
        </w:tc>
        <w:tc>
          <w:tcPr>
            <w:tcW w:w="2131" w:type="dxa"/>
          </w:tcPr>
          <w:p w14:paraId="606CC016"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培养学生的数学应用能力和实践创新意识</w:t>
            </w:r>
          </w:p>
        </w:tc>
      </w:tr>
      <w:tr w:rsidR="00C43080" w:rsidRPr="00255340" w14:paraId="3E311B1B" w14:textId="77777777">
        <w:tc>
          <w:tcPr>
            <w:tcW w:w="2130" w:type="dxa"/>
          </w:tcPr>
          <w:p w14:paraId="169957C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曲线图与函数分析</w:t>
            </w:r>
          </w:p>
        </w:tc>
        <w:tc>
          <w:tcPr>
            <w:tcW w:w="2130" w:type="dxa"/>
          </w:tcPr>
          <w:p w14:paraId="13CA674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引导学生思考曲线图和函数分析在生活中的应用和价值</w:t>
            </w:r>
          </w:p>
        </w:tc>
        <w:tc>
          <w:tcPr>
            <w:tcW w:w="2131" w:type="dxa"/>
          </w:tcPr>
          <w:p w14:paraId="56EA03A3"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在讲解曲线图与函数分析时，引导学生思考曲线图和函数分析在生活中的应用和价值</w:t>
            </w:r>
          </w:p>
        </w:tc>
        <w:tc>
          <w:tcPr>
            <w:tcW w:w="2131" w:type="dxa"/>
          </w:tcPr>
          <w:p w14:paraId="6A9A580F"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培养学生的综合思考和分析问题的能力</w:t>
            </w:r>
          </w:p>
        </w:tc>
      </w:tr>
      <w:tr w:rsidR="00C43080" w:rsidRPr="00255340" w14:paraId="101B8B42" w14:textId="77777777">
        <w:tc>
          <w:tcPr>
            <w:tcW w:w="2130" w:type="dxa"/>
          </w:tcPr>
          <w:p w14:paraId="7CE9A49C"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空间几何与向量</w:t>
            </w:r>
          </w:p>
        </w:tc>
        <w:tc>
          <w:tcPr>
            <w:tcW w:w="2130" w:type="dxa"/>
          </w:tcPr>
          <w:p w14:paraId="2A5CF1A7"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t>引导学生思考空间几何与人类的空间认知及发</w:t>
            </w:r>
            <w:r w:rsidRPr="00255340">
              <w:rPr>
                <w:rFonts w:ascii="Segoe UI" w:eastAsia="Segoe UI" w:hAnsi="Segoe UI" w:cs="Segoe UI"/>
                <w:color w:val="374151"/>
                <w:kern w:val="0"/>
                <w:sz w:val="32"/>
                <w:szCs w:val="32"/>
                <w:lang w:bidi="ar"/>
              </w:rPr>
              <w:lastRenderedPageBreak/>
              <w:t>展的关系</w:t>
            </w:r>
          </w:p>
        </w:tc>
        <w:tc>
          <w:tcPr>
            <w:tcW w:w="2131" w:type="dxa"/>
          </w:tcPr>
          <w:p w14:paraId="4AAF6C9C"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lastRenderedPageBreak/>
              <w:t>在讲解空间几何与向量时，引导学生思考空间</w:t>
            </w:r>
            <w:r w:rsidRPr="00255340">
              <w:rPr>
                <w:rFonts w:ascii="Segoe UI" w:eastAsia="Segoe UI" w:hAnsi="Segoe UI" w:cs="Segoe UI"/>
                <w:color w:val="374151"/>
                <w:kern w:val="0"/>
                <w:sz w:val="32"/>
                <w:szCs w:val="32"/>
                <w:lang w:bidi="ar"/>
              </w:rPr>
              <w:lastRenderedPageBreak/>
              <w:t>几何与人类的空间认知及发展的关系</w:t>
            </w:r>
          </w:p>
        </w:tc>
        <w:tc>
          <w:tcPr>
            <w:tcW w:w="2131" w:type="dxa"/>
          </w:tcPr>
          <w:p w14:paraId="46E66773" w14:textId="77777777" w:rsidR="00C43080" w:rsidRPr="00255340" w:rsidRDefault="00000000">
            <w:pPr>
              <w:widowControl/>
              <w:spacing w:line="21" w:lineRule="atLeast"/>
              <w:jc w:val="left"/>
              <w:textAlignment w:val="baseline"/>
              <w:rPr>
                <w:sz w:val="32"/>
                <w:szCs w:val="32"/>
              </w:rPr>
            </w:pPr>
            <w:r w:rsidRPr="00255340">
              <w:rPr>
                <w:rFonts w:ascii="Segoe UI" w:eastAsia="Segoe UI" w:hAnsi="Segoe UI" w:cs="Segoe UI"/>
                <w:color w:val="374151"/>
                <w:kern w:val="0"/>
                <w:sz w:val="32"/>
                <w:szCs w:val="32"/>
                <w:lang w:bidi="ar"/>
              </w:rPr>
              <w:lastRenderedPageBreak/>
              <w:t>培养学生的空间思维和创造能力</w:t>
            </w:r>
          </w:p>
        </w:tc>
      </w:tr>
    </w:tbl>
    <w:p w14:paraId="0BBA2CB6" w14:textId="77777777" w:rsidR="00C43080" w:rsidRPr="00E63880" w:rsidRDefault="00000000">
      <w:pPr>
        <w:pStyle w:val="a8"/>
        <w:ind w:firstLineChars="0" w:firstLine="0"/>
        <w:jc w:val="center"/>
        <w:rPr>
          <w:rFonts w:ascii="华文楷体" w:eastAsia="华文楷体" w:hAnsi="华文楷体"/>
          <w:sz w:val="28"/>
          <w:szCs w:val="28"/>
        </w:rPr>
      </w:pPr>
      <w:r w:rsidRPr="00E63880">
        <w:rPr>
          <w:rFonts w:ascii="华文楷体" w:eastAsia="华文楷体" w:hAnsi="华文楷体" w:cs="Segoe UI" w:hint="eastAsia"/>
          <w:b/>
          <w:bCs/>
          <w:color w:val="343541"/>
          <w:sz w:val="28"/>
          <w:szCs w:val="28"/>
        </w:rPr>
        <w:t xml:space="preserve">表格1. </w:t>
      </w:r>
      <w:proofErr w:type="gramStart"/>
      <w:r w:rsidRPr="00E63880">
        <w:rPr>
          <w:rFonts w:ascii="华文楷体" w:eastAsia="华文楷体" w:hAnsi="华文楷体" w:cs="Segoe UI"/>
          <w:color w:val="343541"/>
          <w:sz w:val="28"/>
          <w:szCs w:val="28"/>
        </w:rPr>
        <w:t>课程思政</w:t>
      </w:r>
      <w:r w:rsidRPr="00E63880">
        <w:rPr>
          <w:rFonts w:ascii="华文楷体" w:eastAsia="华文楷体" w:hAnsi="华文楷体" w:cs="Segoe UI" w:hint="eastAsia"/>
          <w:color w:val="343541"/>
          <w:sz w:val="28"/>
          <w:szCs w:val="28"/>
        </w:rPr>
        <w:t>在</w:t>
      </w:r>
      <w:proofErr w:type="gramEnd"/>
      <w:r w:rsidRPr="00E63880">
        <w:rPr>
          <w:rFonts w:ascii="华文楷体" w:eastAsia="华文楷体" w:hAnsi="华文楷体" w:cs="Segoe UI"/>
          <w:color w:val="343541"/>
          <w:sz w:val="28"/>
          <w:szCs w:val="28"/>
        </w:rPr>
        <w:t>具体知识</w:t>
      </w:r>
      <w:proofErr w:type="gramStart"/>
      <w:r w:rsidRPr="00E63880">
        <w:rPr>
          <w:rFonts w:ascii="华文楷体" w:eastAsia="华文楷体" w:hAnsi="华文楷体" w:cs="Segoe UI"/>
          <w:color w:val="343541"/>
          <w:sz w:val="28"/>
          <w:szCs w:val="28"/>
        </w:rPr>
        <w:t>点教学</w:t>
      </w:r>
      <w:proofErr w:type="gramEnd"/>
      <w:r w:rsidRPr="00E63880">
        <w:rPr>
          <w:rFonts w:ascii="华文楷体" w:eastAsia="华文楷体" w:hAnsi="华文楷体" w:cs="Segoe UI"/>
          <w:color w:val="343541"/>
          <w:sz w:val="28"/>
          <w:szCs w:val="28"/>
        </w:rPr>
        <w:t>的开展</w:t>
      </w:r>
      <w:r w:rsidRPr="00E63880">
        <w:rPr>
          <w:rFonts w:ascii="华文楷体" w:eastAsia="华文楷体" w:hAnsi="华文楷体" w:cs="Segoe UI" w:hint="eastAsia"/>
          <w:color w:val="343541"/>
          <w:sz w:val="28"/>
          <w:szCs w:val="28"/>
        </w:rPr>
        <w:t>与</w:t>
      </w:r>
      <w:r w:rsidRPr="00E63880">
        <w:rPr>
          <w:rFonts w:ascii="华文楷体" w:eastAsia="华文楷体" w:hAnsi="华文楷体" w:cs="Segoe UI"/>
          <w:color w:val="343541"/>
          <w:sz w:val="28"/>
          <w:szCs w:val="28"/>
        </w:rPr>
        <w:t>落实</w:t>
      </w:r>
    </w:p>
    <w:p w14:paraId="0051EB68" w14:textId="08D0AEF3" w:rsidR="00C43080" w:rsidRPr="00255340" w:rsidRDefault="00E130C0">
      <w:pPr>
        <w:pStyle w:val="a8"/>
        <w:ind w:firstLineChars="300" w:firstLine="960"/>
        <w:jc w:val="left"/>
        <w:rPr>
          <w:sz w:val="32"/>
          <w:szCs w:val="32"/>
        </w:rPr>
      </w:pPr>
      <w:r w:rsidRPr="00255340">
        <w:rPr>
          <w:rFonts w:hint="eastAsia"/>
          <w:sz w:val="32"/>
          <w:szCs w:val="32"/>
        </w:rPr>
        <w:t>（4）</w:t>
      </w:r>
      <w:proofErr w:type="gramStart"/>
      <w:r w:rsidRPr="00255340">
        <w:rPr>
          <w:rFonts w:hint="eastAsia"/>
          <w:sz w:val="32"/>
          <w:szCs w:val="32"/>
        </w:rPr>
        <w:t>课程思政在</w:t>
      </w:r>
      <w:proofErr w:type="gramEnd"/>
      <w:r w:rsidRPr="00255340">
        <w:rPr>
          <w:rFonts w:hint="eastAsia"/>
          <w:sz w:val="32"/>
          <w:szCs w:val="32"/>
        </w:rPr>
        <w:t>教师言传身教中的落实。教师在教学过程中的言传身教也是</w:t>
      </w:r>
      <w:proofErr w:type="gramStart"/>
      <w:r w:rsidRPr="00255340">
        <w:rPr>
          <w:rFonts w:hint="eastAsia"/>
          <w:sz w:val="32"/>
          <w:szCs w:val="32"/>
        </w:rPr>
        <w:t>课程思政的</w:t>
      </w:r>
      <w:proofErr w:type="gramEnd"/>
      <w:r w:rsidRPr="00255340">
        <w:rPr>
          <w:rFonts w:hint="eastAsia"/>
          <w:sz w:val="32"/>
          <w:szCs w:val="32"/>
        </w:rPr>
        <w:t>重要体现。教师通过自身的言谈举止、言辞表达以及教学案例的选择和引导，传递正确的思想道德观念和价值取向。例如，在讲解重要知识点时，教师可以适当引用一些相关的社会实例，让学生了解到数学知识在实际生活中的应用和意义，激发学生对数学的兴趣和对社会的责任感。</w:t>
      </w:r>
    </w:p>
    <w:p w14:paraId="2B633A61" w14:textId="47344D80" w:rsidR="00C43080" w:rsidRPr="00255340" w:rsidRDefault="00000000" w:rsidP="00470769">
      <w:pPr>
        <w:pStyle w:val="a8"/>
        <w:ind w:firstLineChars="300" w:firstLine="960"/>
        <w:jc w:val="left"/>
        <w:rPr>
          <w:sz w:val="32"/>
          <w:szCs w:val="32"/>
        </w:rPr>
      </w:pPr>
      <w:r w:rsidRPr="00255340">
        <w:rPr>
          <w:rFonts w:hint="eastAsia"/>
          <w:sz w:val="32"/>
          <w:szCs w:val="32"/>
        </w:rPr>
        <w:t>总而言之，</w:t>
      </w:r>
      <w:r w:rsidR="00470769" w:rsidRPr="00255340">
        <w:rPr>
          <w:rFonts w:hint="eastAsia"/>
          <w:sz w:val="32"/>
          <w:szCs w:val="32"/>
        </w:rPr>
        <w:t>“课程思政”的目的是挖掘课程的思想政治资源，充分发挥课堂教学的主渠道，达到全面育人的目的，实现思想政治教育目标与学生成长发展需求的一致性</w:t>
      </w:r>
      <w:r w:rsidRPr="00255340">
        <w:rPr>
          <w:rFonts w:hint="eastAsia"/>
          <w:sz w:val="32"/>
          <w:szCs w:val="32"/>
        </w:rPr>
        <w:t>。</w:t>
      </w:r>
      <w:r w:rsidR="00470769" w:rsidRPr="00255340">
        <w:rPr>
          <w:rFonts w:hint="eastAsia"/>
          <w:sz w:val="32"/>
          <w:szCs w:val="32"/>
          <w:vertAlign w:val="superscript"/>
        </w:rPr>
        <w:t>[</w:t>
      </w:r>
      <w:r w:rsidR="00470769" w:rsidRPr="00255340">
        <w:rPr>
          <w:sz w:val="32"/>
          <w:szCs w:val="32"/>
          <w:vertAlign w:val="superscript"/>
        </w:rPr>
        <w:t>3]</w:t>
      </w:r>
      <w:r w:rsidRPr="00255340">
        <w:rPr>
          <w:rFonts w:hint="eastAsia"/>
          <w:sz w:val="32"/>
          <w:szCs w:val="32"/>
        </w:rPr>
        <w:t>通过具体知识</w:t>
      </w:r>
      <w:proofErr w:type="gramStart"/>
      <w:r w:rsidRPr="00255340">
        <w:rPr>
          <w:rFonts w:hint="eastAsia"/>
          <w:sz w:val="32"/>
          <w:szCs w:val="32"/>
        </w:rPr>
        <w:t>点教学</w:t>
      </w:r>
      <w:proofErr w:type="gramEnd"/>
      <w:r w:rsidRPr="00255340">
        <w:rPr>
          <w:rFonts w:hint="eastAsia"/>
          <w:sz w:val="32"/>
          <w:szCs w:val="32"/>
        </w:rPr>
        <w:t>的开展情况来落实课程思政，可以培养学生的思想道德素养、社会责任感</w:t>
      </w:r>
      <w:r w:rsidR="00271BC0" w:rsidRPr="00255340">
        <w:rPr>
          <w:rFonts w:hint="eastAsia"/>
          <w:sz w:val="32"/>
          <w:szCs w:val="32"/>
        </w:rPr>
        <w:t>、科学精神</w:t>
      </w:r>
      <w:r w:rsidRPr="00255340">
        <w:rPr>
          <w:rFonts w:hint="eastAsia"/>
          <w:sz w:val="32"/>
          <w:szCs w:val="32"/>
        </w:rPr>
        <w:t>和创新意识。教师在课堂教学中的引导和教学案例的选择，以及在学生作业和评价中的引导和评价标准，都是</w:t>
      </w:r>
      <w:proofErr w:type="gramStart"/>
      <w:r w:rsidRPr="00255340">
        <w:rPr>
          <w:rFonts w:hint="eastAsia"/>
          <w:sz w:val="32"/>
          <w:szCs w:val="32"/>
        </w:rPr>
        <w:t>课程思政的</w:t>
      </w:r>
      <w:proofErr w:type="gramEnd"/>
      <w:r w:rsidRPr="00255340">
        <w:rPr>
          <w:rFonts w:hint="eastAsia"/>
          <w:sz w:val="32"/>
          <w:szCs w:val="32"/>
        </w:rPr>
        <w:t>具体实施方式。同时，教师的言传身教也是</w:t>
      </w:r>
      <w:proofErr w:type="gramStart"/>
      <w:r w:rsidRPr="00255340">
        <w:rPr>
          <w:rFonts w:hint="eastAsia"/>
          <w:sz w:val="32"/>
          <w:szCs w:val="32"/>
        </w:rPr>
        <w:t>课程思政的</w:t>
      </w:r>
      <w:proofErr w:type="gramEnd"/>
      <w:r w:rsidRPr="00255340">
        <w:rPr>
          <w:rFonts w:hint="eastAsia"/>
          <w:sz w:val="32"/>
          <w:szCs w:val="32"/>
        </w:rPr>
        <w:t>重要环节。通过这些措施，可以全方位育人、立德树人，培养德智体美劳全面发展的社会主义建设者和接班人。</w:t>
      </w:r>
    </w:p>
    <w:p w14:paraId="18C374C8" w14:textId="0ED28DAB" w:rsidR="00C43080" w:rsidRPr="00255340" w:rsidRDefault="00670A92">
      <w:pPr>
        <w:jc w:val="left"/>
        <w:rPr>
          <w:b/>
          <w:bCs/>
          <w:sz w:val="32"/>
          <w:szCs w:val="32"/>
        </w:rPr>
      </w:pPr>
      <w:r w:rsidRPr="00255340">
        <w:rPr>
          <w:rFonts w:hint="eastAsia"/>
          <w:b/>
          <w:bCs/>
          <w:sz w:val="32"/>
          <w:szCs w:val="32"/>
        </w:rPr>
        <w:t>5</w:t>
      </w:r>
      <w:r w:rsidRPr="00255340">
        <w:rPr>
          <w:b/>
          <w:bCs/>
          <w:sz w:val="32"/>
          <w:szCs w:val="32"/>
        </w:rPr>
        <w:t>.</w:t>
      </w:r>
      <w:r w:rsidRPr="00255340">
        <w:rPr>
          <w:rFonts w:hint="eastAsia"/>
          <w:b/>
          <w:bCs/>
          <w:sz w:val="32"/>
          <w:szCs w:val="32"/>
        </w:rPr>
        <w:t>结语：</w:t>
      </w:r>
    </w:p>
    <w:p w14:paraId="1D63D275" w14:textId="77777777" w:rsidR="00C43080" w:rsidRPr="00255340" w:rsidRDefault="00000000">
      <w:pPr>
        <w:ind w:firstLineChars="300" w:firstLine="960"/>
        <w:jc w:val="left"/>
        <w:rPr>
          <w:sz w:val="32"/>
          <w:szCs w:val="32"/>
        </w:rPr>
      </w:pPr>
      <w:r w:rsidRPr="00255340">
        <w:rPr>
          <w:rFonts w:hint="eastAsia"/>
          <w:sz w:val="32"/>
          <w:szCs w:val="32"/>
        </w:rPr>
        <w:lastRenderedPageBreak/>
        <w:t>本文以一流本科课程建设视角下的师范类院校高等数学教学改革为主题，围绕加强教学过程管理、改革教学方法以及</w:t>
      </w:r>
      <w:proofErr w:type="gramStart"/>
      <w:r w:rsidRPr="00255340">
        <w:rPr>
          <w:rFonts w:hint="eastAsia"/>
          <w:sz w:val="32"/>
          <w:szCs w:val="32"/>
        </w:rPr>
        <w:t>课程思政融入</w:t>
      </w:r>
      <w:proofErr w:type="gramEnd"/>
      <w:r w:rsidRPr="00255340">
        <w:rPr>
          <w:rFonts w:hint="eastAsia"/>
          <w:sz w:val="32"/>
          <w:szCs w:val="32"/>
        </w:rPr>
        <w:t>全方位育人的目标展开探究。通过线上线下的融合，促进课前、课中、课后的融合，提升教学效果。改革教学方法，注重课堂互动和学生探究性学习，激发学习的高阶思维。同时，将</w:t>
      </w:r>
      <w:proofErr w:type="gramStart"/>
      <w:r w:rsidRPr="00255340">
        <w:rPr>
          <w:rFonts w:hint="eastAsia"/>
          <w:sz w:val="32"/>
          <w:szCs w:val="32"/>
        </w:rPr>
        <w:t>课程思政融入</w:t>
      </w:r>
      <w:proofErr w:type="gramEnd"/>
      <w:r w:rsidRPr="00255340">
        <w:rPr>
          <w:rFonts w:hint="eastAsia"/>
          <w:sz w:val="32"/>
          <w:szCs w:val="32"/>
        </w:rPr>
        <w:t>教学，培养学生的思想道德素养和社会责任感。这些改革措施将有助于提高师范类院校高等数学教学质量，培养德智体美劳全面发展的人才，为构建社会主义现代化国家</w:t>
      </w:r>
      <w:proofErr w:type="gramStart"/>
      <w:r w:rsidRPr="00255340">
        <w:rPr>
          <w:rFonts w:hint="eastAsia"/>
          <w:sz w:val="32"/>
          <w:szCs w:val="32"/>
        </w:rPr>
        <w:t>作出</w:t>
      </w:r>
      <w:proofErr w:type="gramEnd"/>
      <w:r w:rsidRPr="00255340">
        <w:rPr>
          <w:rFonts w:hint="eastAsia"/>
          <w:sz w:val="32"/>
          <w:szCs w:val="32"/>
        </w:rPr>
        <w:t>贡献。</w:t>
      </w:r>
    </w:p>
    <w:p w14:paraId="198D9604" w14:textId="77777777" w:rsidR="00C43080" w:rsidRPr="00255340" w:rsidRDefault="00C43080">
      <w:pPr>
        <w:jc w:val="left"/>
        <w:rPr>
          <w:sz w:val="32"/>
          <w:szCs w:val="32"/>
        </w:rPr>
      </w:pPr>
    </w:p>
    <w:p w14:paraId="67C0E42D" w14:textId="43A07E88" w:rsidR="00C43080" w:rsidRPr="00255340" w:rsidRDefault="008A3EF8" w:rsidP="008A3EF8">
      <w:pPr>
        <w:jc w:val="center"/>
        <w:rPr>
          <w:b/>
          <w:bCs/>
          <w:sz w:val="32"/>
          <w:szCs w:val="32"/>
        </w:rPr>
      </w:pPr>
      <w:r w:rsidRPr="00255340">
        <w:rPr>
          <w:rFonts w:hint="eastAsia"/>
          <w:b/>
          <w:bCs/>
          <w:sz w:val="32"/>
          <w:szCs w:val="32"/>
        </w:rPr>
        <w:t>[参 考 文 献]</w:t>
      </w:r>
    </w:p>
    <w:p w14:paraId="62CEFEA3" w14:textId="1827493A" w:rsidR="009E038C" w:rsidRPr="00615533" w:rsidRDefault="009E038C">
      <w:pPr>
        <w:jc w:val="left"/>
        <w:rPr>
          <w:rFonts w:ascii="华文楷体" w:eastAsia="华文楷体" w:hAnsi="华文楷体"/>
          <w:sz w:val="32"/>
          <w:szCs w:val="32"/>
        </w:rPr>
      </w:pPr>
      <w:r w:rsidRPr="00255340">
        <w:rPr>
          <w:rFonts w:hint="eastAsia"/>
          <w:sz w:val="32"/>
          <w:szCs w:val="32"/>
        </w:rPr>
        <w:t>[</w:t>
      </w:r>
      <w:r w:rsidRPr="00255340">
        <w:rPr>
          <w:sz w:val="32"/>
          <w:szCs w:val="32"/>
        </w:rPr>
        <w:t>1]</w:t>
      </w:r>
      <w:r w:rsidR="008A3EF8" w:rsidRPr="00255340">
        <w:rPr>
          <w:sz w:val="32"/>
          <w:szCs w:val="32"/>
        </w:rPr>
        <w:t xml:space="preserve"> </w:t>
      </w:r>
      <w:r w:rsidRPr="00615533">
        <w:rPr>
          <w:rFonts w:ascii="华文楷体" w:eastAsia="华文楷体" w:hAnsi="华文楷体" w:hint="eastAsia"/>
          <w:sz w:val="32"/>
          <w:szCs w:val="32"/>
        </w:rPr>
        <w:t>教育部.</w:t>
      </w:r>
      <w:r w:rsidRPr="00615533">
        <w:rPr>
          <w:rFonts w:ascii="华文楷体" w:eastAsia="华文楷体" w:hAnsi="华文楷体"/>
          <w:sz w:val="32"/>
          <w:szCs w:val="32"/>
        </w:rPr>
        <w:t xml:space="preserve"> </w:t>
      </w:r>
      <w:r w:rsidR="00500C78" w:rsidRPr="00615533">
        <w:rPr>
          <w:rFonts w:ascii="华文楷体" w:eastAsia="华文楷体" w:hAnsi="华文楷体" w:hint="eastAsia"/>
          <w:color w:val="333333"/>
          <w:sz w:val="32"/>
          <w:szCs w:val="32"/>
          <w:shd w:val="clear" w:color="auto" w:fill="FFFFFF"/>
        </w:rPr>
        <w:t>教育部关于一流本科课程建设的实施意见</w:t>
      </w:r>
      <w:r w:rsidR="001A7BF0" w:rsidRPr="00615533">
        <w:rPr>
          <w:rFonts w:ascii="华文楷体" w:eastAsia="华文楷体" w:hAnsi="华文楷体" w:hint="eastAsia"/>
          <w:color w:val="333333"/>
          <w:sz w:val="32"/>
          <w:szCs w:val="32"/>
          <w:shd w:val="clear" w:color="auto" w:fill="FFFFFF"/>
        </w:rPr>
        <w:t>[</w:t>
      </w:r>
      <w:r w:rsidR="001A7BF0" w:rsidRPr="00615533">
        <w:rPr>
          <w:rFonts w:ascii="华文楷体" w:eastAsia="华文楷体" w:hAnsi="华文楷体"/>
          <w:color w:val="333333"/>
          <w:sz w:val="32"/>
          <w:szCs w:val="32"/>
          <w:shd w:val="clear" w:color="auto" w:fill="FFFFFF"/>
        </w:rPr>
        <w:t>Z]</w:t>
      </w:r>
      <w:r w:rsidR="00500C78" w:rsidRPr="00615533">
        <w:rPr>
          <w:rFonts w:ascii="华文楷体" w:eastAsia="华文楷体" w:hAnsi="华文楷体" w:hint="eastAsia"/>
          <w:color w:val="333333"/>
          <w:sz w:val="32"/>
          <w:szCs w:val="32"/>
          <w:shd w:val="clear" w:color="auto" w:fill="FFFFFF"/>
        </w:rPr>
        <w:t>，</w:t>
      </w:r>
      <w:proofErr w:type="gramStart"/>
      <w:r w:rsidR="00500C78" w:rsidRPr="00615533">
        <w:rPr>
          <w:rFonts w:ascii="华文楷体" w:eastAsia="华文楷体" w:hAnsi="华文楷体" w:hint="eastAsia"/>
          <w:color w:val="333333"/>
          <w:sz w:val="32"/>
          <w:szCs w:val="32"/>
          <w:shd w:val="clear" w:color="auto" w:fill="FFFFFF"/>
        </w:rPr>
        <w:t>教高〔2019〕</w:t>
      </w:r>
      <w:proofErr w:type="gramEnd"/>
      <w:r w:rsidR="00500C78" w:rsidRPr="00615533">
        <w:rPr>
          <w:rFonts w:ascii="华文楷体" w:eastAsia="华文楷体" w:hAnsi="华文楷体" w:hint="eastAsia"/>
          <w:color w:val="333333"/>
          <w:sz w:val="32"/>
          <w:szCs w:val="32"/>
          <w:shd w:val="clear" w:color="auto" w:fill="FFFFFF"/>
        </w:rPr>
        <w:t>8号</w:t>
      </w:r>
      <w:r w:rsidR="00615533" w:rsidRPr="00615533">
        <w:rPr>
          <w:rFonts w:ascii="华文楷体" w:eastAsia="华文楷体" w:hAnsi="华文楷体" w:hint="eastAsia"/>
          <w:color w:val="333333"/>
          <w:sz w:val="32"/>
          <w:szCs w:val="32"/>
          <w:shd w:val="clear" w:color="auto" w:fill="FFFFFF"/>
        </w:rPr>
        <w:t>.</w:t>
      </w:r>
    </w:p>
    <w:p w14:paraId="53A73229" w14:textId="7DDF54F3" w:rsidR="009E038C" w:rsidRPr="00615533" w:rsidRDefault="00BB4BFA" w:rsidP="00BB4BFA">
      <w:pPr>
        <w:tabs>
          <w:tab w:val="left" w:pos="312"/>
        </w:tabs>
        <w:rPr>
          <w:rFonts w:ascii="华文楷体" w:eastAsia="华文楷体" w:hAnsi="华文楷体"/>
          <w:sz w:val="32"/>
          <w:szCs w:val="32"/>
        </w:rPr>
      </w:pPr>
      <w:r w:rsidRPr="00255340">
        <w:rPr>
          <w:rFonts w:hint="eastAsia"/>
          <w:sz w:val="32"/>
          <w:szCs w:val="32"/>
        </w:rPr>
        <w:t>[</w:t>
      </w:r>
      <w:r w:rsidRPr="00255340">
        <w:rPr>
          <w:sz w:val="32"/>
          <w:szCs w:val="32"/>
        </w:rPr>
        <w:t>2]</w:t>
      </w:r>
      <w:r w:rsidR="008A3EF8" w:rsidRPr="00255340">
        <w:rPr>
          <w:sz w:val="32"/>
          <w:szCs w:val="32"/>
        </w:rPr>
        <w:t xml:space="preserve"> </w:t>
      </w:r>
      <w:r w:rsidR="009E038C" w:rsidRPr="00615533">
        <w:rPr>
          <w:rFonts w:ascii="华文楷体" w:eastAsia="华文楷体" w:hAnsi="华文楷体" w:hint="eastAsia"/>
          <w:sz w:val="32"/>
          <w:szCs w:val="32"/>
        </w:rPr>
        <w:t>教育部</w:t>
      </w:r>
      <w:r w:rsidR="001A7BF0" w:rsidRPr="00615533">
        <w:rPr>
          <w:rFonts w:ascii="华文楷体" w:eastAsia="华文楷体" w:hAnsi="华文楷体" w:hint="eastAsia"/>
          <w:sz w:val="32"/>
          <w:szCs w:val="32"/>
        </w:rPr>
        <w:t>. 高等学校</w:t>
      </w:r>
      <w:proofErr w:type="gramStart"/>
      <w:r w:rsidR="001A7BF0" w:rsidRPr="00615533">
        <w:rPr>
          <w:rFonts w:ascii="华文楷体" w:eastAsia="华文楷体" w:hAnsi="华文楷体" w:hint="eastAsia"/>
          <w:sz w:val="32"/>
          <w:szCs w:val="32"/>
        </w:rPr>
        <w:t>课程思政建设</w:t>
      </w:r>
      <w:proofErr w:type="gramEnd"/>
      <w:r w:rsidR="001A7BF0" w:rsidRPr="00615533">
        <w:rPr>
          <w:rFonts w:ascii="华文楷体" w:eastAsia="华文楷体" w:hAnsi="华文楷体" w:hint="eastAsia"/>
          <w:sz w:val="32"/>
          <w:szCs w:val="32"/>
        </w:rPr>
        <w:t>指导纲要</w:t>
      </w:r>
      <w:proofErr w:type="gramStart"/>
      <w:r w:rsidR="001A7BF0" w:rsidRPr="00615533">
        <w:rPr>
          <w:rFonts w:ascii="华文楷体" w:eastAsia="华文楷体" w:hAnsi="华文楷体" w:hint="eastAsia"/>
          <w:sz w:val="32"/>
          <w:szCs w:val="32"/>
        </w:rPr>
        <w:t>》</w:t>
      </w:r>
      <w:proofErr w:type="gramEnd"/>
      <w:r w:rsidR="001A7BF0" w:rsidRPr="00615533">
        <w:rPr>
          <w:rFonts w:ascii="华文楷体" w:eastAsia="华文楷体" w:hAnsi="华文楷体" w:hint="eastAsia"/>
          <w:sz w:val="32"/>
          <w:szCs w:val="32"/>
        </w:rPr>
        <w:t xml:space="preserve">[Z]. </w:t>
      </w:r>
      <w:proofErr w:type="gramStart"/>
      <w:r w:rsidR="001A7BF0" w:rsidRPr="00615533">
        <w:rPr>
          <w:rFonts w:ascii="华文楷体" w:eastAsia="华文楷体" w:hAnsi="华文楷体" w:hint="eastAsia"/>
          <w:sz w:val="32"/>
          <w:szCs w:val="32"/>
        </w:rPr>
        <w:t>教高</w:t>
      </w:r>
      <w:proofErr w:type="gramEnd"/>
      <w:r w:rsidR="001A7BF0" w:rsidRPr="00615533">
        <w:rPr>
          <w:rFonts w:ascii="华文楷体" w:eastAsia="华文楷体" w:hAnsi="华文楷体" w:hint="eastAsia"/>
          <w:sz w:val="32"/>
          <w:szCs w:val="32"/>
        </w:rPr>
        <w:t>[2020] 3号.</w:t>
      </w:r>
    </w:p>
    <w:p w14:paraId="0EF76D9A" w14:textId="0CD4B93A" w:rsidR="00470769" w:rsidRPr="00615533" w:rsidRDefault="00470769">
      <w:pPr>
        <w:jc w:val="left"/>
        <w:rPr>
          <w:rFonts w:ascii="华文楷体" w:eastAsia="华文楷体" w:hAnsi="华文楷体"/>
          <w:sz w:val="32"/>
          <w:szCs w:val="32"/>
        </w:rPr>
      </w:pPr>
      <w:r w:rsidRPr="00255340">
        <w:rPr>
          <w:rFonts w:hint="eastAsia"/>
          <w:sz w:val="32"/>
          <w:szCs w:val="32"/>
        </w:rPr>
        <w:t>[</w:t>
      </w:r>
      <w:r w:rsidRPr="00255340">
        <w:rPr>
          <w:sz w:val="32"/>
          <w:szCs w:val="32"/>
        </w:rPr>
        <w:t xml:space="preserve">3] </w:t>
      </w:r>
      <w:r w:rsidRPr="00615533">
        <w:rPr>
          <w:rFonts w:ascii="华文楷体" w:eastAsia="华文楷体" w:hAnsi="华文楷体" w:hint="eastAsia"/>
          <w:sz w:val="32"/>
          <w:szCs w:val="32"/>
        </w:rPr>
        <w:t>冯刚.</w:t>
      </w:r>
      <w:r w:rsidRPr="00615533">
        <w:rPr>
          <w:rFonts w:ascii="华文楷体" w:eastAsia="华文楷体" w:hAnsi="华文楷体"/>
          <w:sz w:val="32"/>
          <w:szCs w:val="32"/>
        </w:rPr>
        <w:t xml:space="preserve"> </w:t>
      </w:r>
      <w:r w:rsidRPr="00615533">
        <w:rPr>
          <w:rFonts w:ascii="华文楷体" w:eastAsia="华文楷体" w:hAnsi="华文楷体" w:hint="eastAsia"/>
          <w:sz w:val="32"/>
          <w:szCs w:val="32"/>
        </w:rPr>
        <w:t>增强高校思想政治教育持续发展的内生动力[</w:t>
      </w:r>
      <w:r w:rsidRPr="00615533">
        <w:rPr>
          <w:rFonts w:ascii="华文楷体" w:eastAsia="华文楷体" w:hAnsi="华文楷体"/>
          <w:sz w:val="32"/>
          <w:szCs w:val="32"/>
        </w:rPr>
        <w:t xml:space="preserve">J]. </w:t>
      </w:r>
      <w:r w:rsidRPr="00615533">
        <w:rPr>
          <w:rFonts w:ascii="华文楷体" w:eastAsia="华文楷体" w:hAnsi="华文楷体" w:hint="eastAsia"/>
          <w:sz w:val="32"/>
          <w:szCs w:val="32"/>
        </w:rPr>
        <w:t>中国高等教育，2</w:t>
      </w:r>
      <w:r w:rsidRPr="00615533">
        <w:rPr>
          <w:rFonts w:ascii="华文楷体" w:eastAsia="华文楷体" w:hAnsi="华文楷体"/>
          <w:sz w:val="32"/>
          <w:szCs w:val="32"/>
        </w:rPr>
        <w:t>017(2)</w:t>
      </w:r>
      <w:r w:rsidRPr="00615533">
        <w:rPr>
          <w:rFonts w:ascii="华文楷体" w:eastAsia="华文楷体" w:hAnsi="华文楷体" w:hint="eastAsia"/>
          <w:sz w:val="32"/>
          <w:szCs w:val="32"/>
        </w:rPr>
        <w:t>：2</w:t>
      </w:r>
      <w:r w:rsidRPr="00615533">
        <w:rPr>
          <w:rFonts w:ascii="华文楷体" w:eastAsia="华文楷体" w:hAnsi="华文楷体"/>
          <w:sz w:val="32"/>
          <w:szCs w:val="32"/>
        </w:rPr>
        <w:t>5-29.</w:t>
      </w:r>
    </w:p>
    <w:p w14:paraId="35CA5305" w14:textId="7BCAF55F" w:rsidR="00C21986" w:rsidRPr="00615533" w:rsidRDefault="00C21986">
      <w:pPr>
        <w:jc w:val="left"/>
        <w:rPr>
          <w:rFonts w:ascii="华文楷体" w:eastAsia="华文楷体" w:hAnsi="华文楷体"/>
          <w:sz w:val="32"/>
          <w:szCs w:val="32"/>
        </w:rPr>
      </w:pPr>
      <w:r w:rsidRPr="00255340">
        <w:rPr>
          <w:rFonts w:hint="eastAsia"/>
          <w:sz w:val="32"/>
          <w:szCs w:val="32"/>
        </w:rPr>
        <w:t>[</w:t>
      </w:r>
      <w:r w:rsidRPr="00255340">
        <w:rPr>
          <w:sz w:val="32"/>
          <w:szCs w:val="32"/>
        </w:rPr>
        <w:t xml:space="preserve">4] </w:t>
      </w:r>
      <w:r w:rsidR="008A3EF8" w:rsidRPr="00255340">
        <w:rPr>
          <w:sz w:val="32"/>
          <w:szCs w:val="32"/>
        </w:rPr>
        <w:t xml:space="preserve"> </w:t>
      </w:r>
      <w:proofErr w:type="gramStart"/>
      <w:r w:rsidRPr="00615533">
        <w:rPr>
          <w:rFonts w:ascii="华文楷体" w:eastAsia="华文楷体" w:hAnsi="华文楷体" w:hint="eastAsia"/>
          <w:sz w:val="32"/>
          <w:szCs w:val="32"/>
        </w:rPr>
        <w:t>吴慧卓</w:t>
      </w:r>
      <w:proofErr w:type="gramEnd"/>
      <w:r w:rsidRPr="00615533">
        <w:rPr>
          <w:rFonts w:ascii="华文楷体" w:eastAsia="华文楷体" w:hAnsi="华文楷体" w:hint="eastAsia"/>
          <w:sz w:val="32"/>
          <w:szCs w:val="32"/>
        </w:rPr>
        <w:t>.</w:t>
      </w:r>
      <w:r w:rsidRPr="00615533">
        <w:rPr>
          <w:rFonts w:ascii="华文楷体" w:eastAsia="华文楷体" w:hAnsi="华文楷体"/>
          <w:sz w:val="32"/>
          <w:szCs w:val="32"/>
        </w:rPr>
        <w:t xml:space="preserve"> </w:t>
      </w:r>
      <w:r w:rsidRPr="00615533">
        <w:rPr>
          <w:rFonts w:ascii="华文楷体" w:eastAsia="华文楷体" w:hAnsi="华文楷体" w:hint="eastAsia"/>
          <w:sz w:val="32"/>
          <w:szCs w:val="32"/>
        </w:rPr>
        <w:t>高等数学教学中渗透</w:t>
      </w:r>
      <w:proofErr w:type="gramStart"/>
      <w:r w:rsidRPr="00615533">
        <w:rPr>
          <w:rFonts w:ascii="华文楷体" w:eastAsia="华文楷体" w:hAnsi="华文楷体" w:hint="eastAsia"/>
          <w:sz w:val="32"/>
          <w:szCs w:val="32"/>
        </w:rPr>
        <w:t>课程思政的</w:t>
      </w:r>
      <w:proofErr w:type="gramEnd"/>
      <w:r w:rsidRPr="00615533">
        <w:rPr>
          <w:rFonts w:ascii="华文楷体" w:eastAsia="华文楷体" w:hAnsi="华文楷体" w:hint="eastAsia"/>
          <w:sz w:val="32"/>
          <w:szCs w:val="32"/>
        </w:rPr>
        <w:t>探索与思考[</w:t>
      </w:r>
      <w:r w:rsidRPr="00615533">
        <w:rPr>
          <w:rFonts w:ascii="华文楷体" w:eastAsia="华文楷体" w:hAnsi="华文楷体"/>
          <w:sz w:val="32"/>
          <w:szCs w:val="32"/>
        </w:rPr>
        <w:t xml:space="preserve">J]. </w:t>
      </w:r>
      <w:r w:rsidRPr="00615533">
        <w:rPr>
          <w:rFonts w:ascii="华文楷体" w:eastAsia="华文楷体" w:hAnsi="华文楷体" w:hint="eastAsia"/>
          <w:sz w:val="32"/>
          <w:szCs w:val="32"/>
        </w:rPr>
        <w:t>大学数学，2</w:t>
      </w:r>
      <w:r w:rsidRPr="00615533">
        <w:rPr>
          <w:rFonts w:ascii="华文楷体" w:eastAsia="华文楷体" w:hAnsi="华文楷体"/>
          <w:sz w:val="32"/>
          <w:szCs w:val="32"/>
        </w:rPr>
        <w:t>019</w:t>
      </w:r>
      <w:r w:rsidRPr="00615533">
        <w:rPr>
          <w:rFonts w:ascii="华文楷体" w:eastAsia="华文楷体" w:hAnsi="华文楷体" w:hint="eastAsia"/>
          <w:sz w:val="32"/>
          <w:szCs w:val="32"/>
        </w:rPr>
        <w:t>,</w:t>
      </w:r>
      <w:r w:rsidRPr="00615533">
        <w:rPr>
          <w:rFonts w:ascii="华文楷体" w:eastAsia="华文楷体" w:hAnsi="华文楷体"/>
          <w:sz w:val="32"/>
          <w:szCs w:val="32"/>
        </w:rPr>
        <w:t>35</w:t>
      </w:r>
      <w:r w:rsidRPr="00615533">
        <w:rPr>
          <w:rFonts w:ascii="华文楷体" w:eastAsia="华文楷体" w:hAnsi="华文楷体" w:hint="eastAsia"/>
          <w:sz w:val="32"/>
          <w:szCs w:val="32"/>
        </w:rPr>
        <w:t>（5）：4</w:t>
      </w:r>
      <w:r w:rsidRPr="00615533">
        <w:rPr>
          <w:rFonts w:ascii="华文楷体" w:eastAsia="华文楷体" w:hAnsi="华文楷体"/>
          <w:sz w:val="32"/>
          <w:szCs w:val="32"/>
        </w:rPr>
        <w:t>0-44.</w:t>
      </w:r>
    </w:p>
    <w:p w14:paraId="5FF76547" w14:textId="34342A89" w:rsidR="008D7431" w:rsidRPr="00615533" w:rsidRDefault="008D7431">
      <w:pPr>
        <w:jc w:val="left"/>
        <w:rPr>
          <w:rFonts w:ascii="华文楷体" w:eastAsia="华文楷体" w:hAnsi="华文楷体"/>
          <w:sz w:val="32"/>
          <w:szCs w:val="32"/>
        </w:rPr>
      </w:pPr>
      <w:r w:rsidRPr="00255340">
        <w:rPr>
          <w:rFonts w:hint="eastAsia"/>
          <w:sz w:val="32"/>
          <w:szCs w:val="32"/>
        </w:rPr>
        <w:t>[</w:t>
      </w:r>
      <w:r w:rsidRPr="00255340">
        <w:rPr>
          <w:sz w:val="32"/>
          <w:szCs w:val="32"/>
        </w:rPr>
        <w:t>5]</w:t>
      </w:r>
      <w:r w:rsidR="008A3EF8" w:rsidRPr="00255340">
        <w:rPr>
          <w:sz w:val="32"/>
          <w:szCs w:val="32"/>
        </w:rPr>
        <w:t xml:space="preserve"> </w:t>
      </w:r>
      <w:r w:rsidRPr="00615533">
        <w:rPr>
          <w:rFonts w:ascii="华文楷体" w:eastAsia="华文楷体" w:hAnsi="华文楷体" w:hint="eastAsia"/>
          <w:sz w:val="32"/>
          <w:szCs w:val="32"/>
        </w:rPr>
        <w:t>张奠</w:t>
      </w:r>
      <w:proofErr w:type="gramStart"/>
      <w:r w:rsidRPr="00615533">
        <w:rPr>
          <w:rFonts w:ascii="华文楷体" w:eastAsia="华文楷体" w:hAnsi="华文楷体" w:hint="eastAsia"/>
          <w:sz w:val="32"/>
          <w:szCs w:val="32"/>
        </w:rPr>
        <w:t>宙</w:t>
      </w:r>
      <w:proofErr w:type="gramEnd"/>
      <w:r w:rsidRPr="00615533">
        <w:rPr>
          <w:rFonts w:ascii="华文楷体" w:eastAsia="华文楷体" w:hAnsi="华文楷体" w:hint="eastAsia"/>
          <w:sz w:val="32"/>
          <w:szCs w:val="32"/>
        </w:rPr>
        <w:t>，</w:t>
      </w:r>
      <w:proofErr w:type="gramStart"/>
      <w:r w:rsidRPr="00615533">
        <w:rPr>
          <w:rFonts w:ascii="华文楷体" w:eastAsia="华文楷体" w:hAnsi="华文楷体" w:hint="eastAsia"/>
          <w:sz w:val="32"/>
          <w:szCs w:val="32"/>
        </w:rPr>
        <w:t>柴俊</w:t>
      </w:r>
      <w:proofErr w:type="gramEnd"/>
      <w:r w:rsidRPr="00615533">
        <w:rPr>
          <w:rFonts w:ascii="华文楷体" w:eastAsia="华文楷体" w:hAnsi="华文楷体" w:hint="eastAsia"/>
          <w:sz w:val="32"/>
          <w:szCs w:val="32"/>
        </w:rPr>
        <w:t>.</w:t>
      </w:r>
      <w:r w:rsidRPr="00615533">
        <w:rPr>
          <w:rFonts w:ascii="华文楷体" w:eastAsia="华文楷体" w:hAnsi="华文楷体"/>
          <w:sz w:val="32"/>
          <w:szCs w:val="32"/>
        </w:rPr>
        <w:t xml:space="preserve"> </w:t>
      </w:r>
      <w:r w:rsidRPr="00615533">
        <w:rPr>
          <w:rFonts w:ascii="华文楷体" w:eastAsia="华文楷体" w:hAnsi="华文楷体" w:hint="eastAsia"/>
          <w:sz w:val="32"/>
          <w:szCs w:val="32"/>
        </w:rPr>
        <w:t>关于大学</w:t>
      </w:r>
      <w:proofErr w:type="gramStart"/>
      <w:r w:rsidRPr="00615533">
        <w:rPr>
          <w:rFonts w:ascii="华文楷体" w:eastAsia="华文楷体" w:hAnsi="华文楷体" w:hint="eastAsia"/>
          <w:sz w:val="32"/>
          <w:szCs w:val="32"/>
        </w:rPr>
        <w:t>数教学</w:t>
      </w:r>
      <w:proofErr w:type="gramEnd"/>
      <w:r w:rsidRPr="00615533">
        <w:rPr>
          <w:rFonts w:ascii="华文楷体" w:eastAsia="华文楷体" w:hAnsi="华文楷体" w:hint="eastAsia"/>
          <w:sz w:val="32"/>
          <w:szCs w:val="32"/>
        </w:rPr>
        <w:t>的一些基本原理[</w:t>
      </w:r>
      <w:r w:rsidRPr="00615533">
        <w:rPr>
          <w:rFonts w:ascii="华文楷体" w:eastAsia="华文楷体" w:hAnsi="华文楷体"/>
          <w:sz w:val="32"/>
          <w:szCs w:val="32"/>
        </w:rPr>
        <w:t xml:space="preserve">J]. </w:t>
      </w:r>
      <w:r w:rsidRPr="00615533">
        <w:rPr>
          <w:rFonts w:ascii="华文楷体" w:eastAsia="华文楷体" w:hAnsi="华文楷体" w:hint="eastAsia"/>
          <w:sz w:val="32"/>
          <w:szCs w:val="32"/>
        </w:rPr>
        <w:t>高等数学研究，2</w:t>
      </w:r>
      <w:r w:rsidRPr="00615533">
        <w:rPr>
          <w:rFonts w:ascii="华文楷体" w:eastAsia="华文楷体" w:hAnsi="华文楷体"/>
          <w:sz w:val="32"/>
          <w:szCs w:val="32"/>
        </w:rPr>
        <w:t>012</w:t>
      </w:r>
      <w:r w:rsidRPr="00615533">
        <w:rPr>
          <w:rFonts w:ascii="华文楷体" w:eastAsia="华文楷体" w:hAnsi="华文楷体" w:hint="eastAsia"/>
          <w:sz w:val="32"/>
          <w:szCs w:val="32"/>
        </w:rPr>
        <w:t>,</w:t>
      </w:r>
      <w:r w:rsidRPr="00615533">
        <w:rPr>
          <w:rFonts w:ascii="华文楷体" w:eastAsia="华文楷体" w:hAnsi="华文楷体"/>
          <w:sz w:val="32"/>
          <w:szCs w:val="32"/>
        </w:rPr>
        <w:t>15</w:t>
      </w:r>
      <w:r w:rsidRPr="00615533">
        <w:rPr>
          <w:rFonts w:ascii="华文楷体" w:eastAsia="华文楷体" w:hAnsi="华文楷体" w:hint="eastAsia"/>
          <w:sz w:val="32"/>
          <w:szCs w:val="32"/>
        </w:rPr>
        <w:t>（3）：3</w:t>
      </w:r>
      <w:r w:rsidRPr="00615533">
        <w:rPr>
          <w:rFonts w:ascii="华文楷体" w:eastAsia="华文楷体" w:hAnsi="华文楷体"/>
          <w:sz w:val="32"/>
          <w:szCs w:val="32"/>
        </w:rPr>
        <w:t>7-38.</w:t>
      </w:r>
    </w:p>
    <w:p w14:paraId="0756514A" w14:textId="77777777" w:rsidR="001A7BF0" w:rsidRPr="00255340" w:rsidRDefault="001A7BF0">
      <w:pPr>
        <w:jc w:val="left"/>
        <w:rPr>
          <w:sz w:val="32"/>
          <w:szCs w:val="32"/>
        </w:rPr>
      </w:pPr>
    </w:p>
    <w:p w14:paraId="184B404A" w14:textId="3DE1A371" w:rsidR="001A7BF0" w:rsidRDefault="001A7BF0">
      <w:pPr>
        <w:jc w:val="left"/>
        <w:rPr>
          <w:rFonts w:ascii="华文楷体" w:eastAsia="华文楷体" w:hAnsi="华文楷体"/>
          <w:sz w:val="32"/>
          <w:szCs w:val="32"/>
        </w:rPr>
      </w:pPr>
    </w:p>
    <w:p w14:paraId="5670C647" w14:textId="77777777" w:rsidR="00E63880" w:rsidRPr="00615533" w:rsidRDefault="00E63880">
      <w:pPr>
        <w:jc w:val="left"/>
        <w:rPr>
          <w:rFonts w:ascii="华文楷体" w:eastAsia="华文楷体" w:hAnsi="华文楷体" w:hint="eastAsia"/>
          <w:sz w:val="32"/>
          <w:szCs w:val="32"/>
        </w:rPr>
      </w:pPr>
    </w:p>
    <w:p w14:paraId="6A4C3FCC" w14:textId="77777777" w:rsidR="005A574B" w:rsidRPr="00255340" w:rsidRDefault="005A574B" w:rsidP="005A574B">
      <w:pPr>
        <w:tabs>
          <w:tab w:val="left" w:pos="312"/>
        </w:tabs>
        <w:jc w:val="center"/>
        <w:rPr>
          <w:rFonts w:ascii="Times New Roman" w:hAnsi="Times New Roman" w:cs="Times New Roman"/>
          <w:b/>
          <w:bCs/>
          <w:sz w:val="32"/>
          <w:szCs w:val="32"/>
        </w:rPr>
      </w:pPr>
      <w:r w:rsidRPr="00255340">
        <w:rPr>
          <w:rFonts w:ascii="Times New Roman" w:hAnsi="Times New Roman" w:cs="Times New Roman"/>
          <w:b/>
          <w:bCs/>
          <w:sz w:val="32"/>
          <w:szCs w:val="32"/>
        </w:rPr>
        <w:t xml:space="preserve">Exploration of Higher Mathematics Teaching Reform from the Perspective of </w:t>
      </w:r>
      <w:proofErr w:type="gramStart"/>
      <w:r w:rsidRPr="00255340">
        <w:rPr>
          <w:rFonts w:ascii="Times New Roman" w:hAnsi="Times New Roman" w:cs="Times New Roman"/>
          <w:b/>
          <w:bCs/>
          <w:sz w:val="32"/>
          <w:szCs w:val="32"/>
        </w:rPr>
        <w:t>First Class</w:t>
      </w:r>
      <w:proofErr w:type="gramEnd"/>
      <w:r w:rsidRPr="00255340">
        <w:rPr>
          <w:rFonts w:ascii="Times New Roman" w:hAnsi="Times New Roman" w:cs="Times New Roman"/>
          <w:b/>
          <w:bCs/>
          <w:sz w:val="32"/>
          <w:szCs w:val="32"/>
        </w:rPr>
        <w:t xml:space="preserve"> Curriculum Construction</w:t>
      </w:r>
    </w:p>
    <w:p w14:paraId="5F6EF539" w14:textId="0678C415" w:rsidR="00DE0AAD" w:rsidRPr="00255340" w:rsidRDefault="005A574B" w:rsidP="005A574B">
      <w:pPr>
        <w:jc w:val="center"/>
        <w:rPr>
          <w:sz w:val="32"/>
          <w:szCs w:val="32"/>
        </w:rPr>
      </w:pPr>
      <w:r w:rsidRPr="00255340">
        <w:rPr>
          <w:rFonts w:hint="eastAsia"/>
          <w:sz w:val="32"/>
          <w:szCs w:val="32"/>
        </w:rPr>
        <w:t>WU</w:t>
      </w:r>
      <w:r w:rsidRPr="00255340">
        <w:rPr>
          <w:sz w:val="32"/>
          <w:szCs w:val="32"/>
        </w:rPr>
        <w:t xml:space="preserve"> </w:t>
      </w:r>
      <w:r w:rsidRPr="00255340">
        <w:rPr>
          <w:rFonts w:hint="eastAsia"/>
          <w:sz w:val="32"/>
          <w:szCs w:val="32"/>
        </w:rPr>
        <w:t>Fen</w:t>
      </w:r>
      <w:r w:rsidRPr="00255340">
        <w:rPr>
          <w:sz w:val="32"/>
          <w:szCs w:val="32"/>
        </w:rPr>
        <w:t>-</w:t>
      </w:r>
      <w:r w:rsidRPr="00255340">
        <w:rPr>
          <w:rFonts w:hint="eastAsia"/>
          <w:sz w:val="32"/>
          <w:szCs w:val="32"/>
        </w:rPr>
        <w:t>gong</w:t>
      </w:r>
      <w:r w:rsidRPr="00255340">
        <w:rPr>
          <w:sz w:val="32"/>
          <w:szCs w:val="32"/>
        </w:rPr>
        <w:t xml:space="preserve"> </w:t>
      </w:r>
      <w:r w:rsidRPr="00255340">
        <w:rPr>
          <w:rFonts w:hint="eastAsia"/>
          <w:sz w:val="32"/>
          <w:szCs w:val="32"/>
        </w:rPr>
        <w:t>and</w:t>
      </w:r>
      <w:r w:rsidRPr="00255340">
        <w:rPr>
          <w:sz w:val="32"/>
          <w:szCs w:val="32"/>
        </w:rPr>
        <w:t xml:space="preserve"> </w:t>
      </w:r>
      <w:r w:rsidRPr="00255340">
        <w:rPr>
          <w:rFonts w:hint="eastAsia"/>
          <w:sz w:val="32"/>
          <w:szCs w:val="32"/>
        </w:rPr>
        <w:t>MIAO</w:t>
      </w:r>
      <w:r w:rsidRPr="00255340">
        <w:rPr>
          <w:sz w:val="32"/>
          <w:szCs w:val="32"/>
        </w:rPr>
        <w:t xml:space="preserve"> </w:t>
      </w:r>
      <w:r w:rsidRPr="00255340">
        <w:rPr>
          <w:rFonts w:hint="eastAsia"/>
          <w:sz w:val="32"/>
          <w:szCs w:val="32"/>
        </w:rPr>
        <w:t>Chun</w:t>
      </w:r>
      <w:r w:rsidRPr="00255340">
        <w:rPr>
          <w:sz w:val="32"/>
          <w:szCs w:val="32"/>
        </w:rPr>
        <w:t>-</w:t>
      </w:r>
      <w:proofErr w:type="spellStart"/>
      <w:r w:rsidRPr="00255340">
        <w:rPr>
          <w:rFonts w:hint="eastAsia"/>
          <w:sz w:val="32"/>
          <w:szCs w:val="32"/>
        </w:rPr>
        <w:t>mei</w:t>
      </w:r>
      <w:proofErr w:type="spellEnd"/>
    </w:p>
    <w:p w14:paraId="60008630" w14:textId="650C0CB9" w:rsidR="005A574B" w:rsidRPr="00255340" w:rsidRDefault="005A574B" w:rsidP="005A574B">
      <w:pPr>
        <w:jc w:val="left"/>
        <w:rPr>
          <w:rFonts w:ascii="Times New Roman" w:hAnsi="Times New Roman" w:cs="Times New Roman"/>
          <w:sz w:val="32"/>
          <w:szCs w:val="32"/>
        </w:rPr>
      </w:pPr>
      <w:r w:rsidRPr="00255340">
        <w:rPr>
          <w:rFonts w:ascii="Times New Roman" w:hAnsi="Times New Roman" w:cs="Times New Roman" w:hint="eastAsia"/>
          <w:b/>
          <w:bCs/>
          <w:sz w:val="32"/>
          <w:szCs w:val="32"/>
        </w:rPr>
        <w:t>Ab</w:t>
      </w:r>
      <w:r w:rsidRPr="00255340">
        <w:rPr>
          <w:rFonts w:ascii="Times New Roman" w:hAnsi="Times New Roman" w:cs="Times New Roman"/>
          <w:b/>
          <w:bCs/>
          <w:sz w:val="32"/>
          <w:szCs w:val="32"/>
        </w:rPr>
        <w:t>stract:</w:t>
      </w:r>
      <w:r w:rsidRPr="00255340">
        <w:rPr>
          <w:rFonts w:ascii="Times New Roman" w:hAnsi="Times New Roman" w:cs="Times New Roman" w:hint="eastAsia"/>
          <w:b/>
          <w:bCs/>
          <w:sz w:val="32"/>
          <w:szCs w:val="32"/>
        </w:rPr>
        <w:t xml:space="preserve"> </w:t>
      </w:r>
      <w:r w:rsidRPr="00255340">
        <w:rPr>
          <w:rFonts w:ascii="Times New Roman" w:hAnsi="Times New Roman" w:cs="Times New Roman"/>
          <w:sz w:val="32"/>
          <w:szCs w:val="32"/>
        </w:rPr>
        <w:t>In response to the common problems of loose process management, single teaching methods, and overly simplistic integration of ideological and political education in courses, the article proposes some opinions on three aspects: teaching method reform, integration of information technology into the classroom and teaching process management, and ideological and political education in courses, based on exploration in teaching practice and the requirements of first-class undergraduate course construction.</w:t>
      </w:r>
    </w:p>
    <w:p w14:paraId="6A0B578D" w14:textId="711B528D" w:rsidR="005A574B" w:rsidRPr="00E71096" w:rsidRDefault="005A574B" w:rsidP="005A574B">
      <w:pPr>
        <w:jc w:val="left"/>
        <w:rPr>
          <w:rFonts w:ascii="Times New Roman" w:hAnsi="Times New Roman" w:cs="Times New Roman"/>
          <w:szCs w:val="21"/>
        </w:rPr>
      </w:pPr>
      <w:r w:rsidRPr="00255340">
        <w:rPr>
          <w:rFonts w:ascii="Times New Roman" w:hAnsi="Times New Roman" w:cs="Times New Roman" w:hint="eastAsia"/>
          <w:b/>
          <w:bCs/>
          <w:sz w:val="32"/>
          <w:szCs w:val="32"/>
        </w:rPr>
        <w:t>K</w:t>
      </w:r>
      <w:r w:rsidRPr="00255340">
        <w:rPr>
          <w:rFonts w:ascii="Times New Roman" w:hAnsi="Times New Roman" w:cs="Times New Roman"/>
          <w:b/>
          <w:bCs/>
          <w:sz w:val="32"/>
          <w:szCs w:val="32"/>
        </w:rPr>
        <w:t>ey</w:t>
      </w:r>
      <w:r w:rsidRPr="00255340">
        <w:rPr>
          <w:rFonts w:ascii="Times New Roman" w:hAnsi="Times New Roman" w:cs="Times New Roman" w:hint="eastAsia"/>
          <w:b/>
          <w:bCs/>
          <w:sz w:val="32"/>
          <w:szCs w:val="32"/>
        </w:rPr>
        <w:t xml:space="preserve"> </w:t>
      </w:r>
      <w:r w:rsidRPr="00255340">
        <w:rPr>
          <w:rFonts w:ascii="Times New Roman" w:hAnsi="Times New Roman" w:cs="Times New Roman"/>
          <w:b/>
          <w:bCs/>
          <w:sz w:val="32"/>
          <w:szCs w:val="32"/>
        </w:rPr>
        <w:t xml:space="preserve">words: </w:t>
      </w:r>
      <w:r w:rsidRPr="00255340">
        <w:rPr>
          <w:rFonts w:ascii="Times New Roman" w:hAnsi="Times New Roman" w:cs="Times New Roman"/>
          <w:sz w:val="32"/>
          <w:szCs w:val="32"/>
        </w:rPr>
        <w:t>first class courses; advanced thi</w:t>
      </w:r>
      <w:r w:rsidRPr="00E71096">
        <w:rPr>
          <w:rFonts w:ascii="Times New Roman" w:hAnsi="Times New Roman" w:cs="Times New Roman"/>
          <w:szCs w:val="21"/>
        </w:rPr>
        <w:t>nking; effective interaction; and process management</w:t>
      </w:r>
    </w:p>
    <w:sectPr w:rsidR="005A574B" w:rsidRPr="00E71096" w:rsidSect="00615533">
      <w:footerReference w:type="default" r:id="rId7"/>
      <w:footerReference w:type="firs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4A07" w14:textId="77777777" w:rsidR="00D363B3" w:rsidRDefault="00D363B3" w:rsidP="00E650A7">
      <w:r>
        <w:separator/>
      </w:r>
    </w:p>
  </w:endnote>
  <w:endnote w:type="continuationSeparator" w:id="0">
    <w:p w14:paraId="1448262C" w14:textId="77777777" w:rsidR="00D363B3" w:rsidRDefault="00D363B3" w:rsidP="00E6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3+SimSun">
    <w:altName w:val="Cambria"/>
    <w:charset w:val="00"/>
    <w:family w:val="roman"/>
    <w:pitch w:val="default"/>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CD8040BE9D54723B944291FD69CD553"/>
      </w:placeholder>
      <w:temporary/>
      <w:showingPlcHdr/>
      <w15:appearance w15:val="hidden"/>
    </w:sdtPr>
    <w:sdtContent>
      <w:p w14:paraId="64CAE7CC" w14:textId="77777777" w:rsidR="00615533" w:rsidRDefault="00615533">
        <w:pPr>
          <w:pStyle w:val="a3"/>
        </w:pPr>
        <w:r>
          <w:rPr>
            <w:lang w:val="zh-CN"/>
          </w:rPr>
          <w:t>[在此处键入]</w:t>
        </w:r>
      </w:p>
    </w:sdtContent>
  </w:sdt>
  <w:p w14:paraId="7ED9B8F0" w14:textId="77777777" w:rsidR="00615533" w:rsidRDefault="006155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F529" w14:textId="5F1D5D38" w:rsidR="00615533" w:rsidRDefault="00615533" w:rsidP="00615533">
    <w:pPr>
      <w:pStyle w:val="a3"/>
      <w:rPr>
        <w:rFonts w:ascii="华文楷体" w:eastAsia="华文楷体" w:hAnsi="华文楷体"/>
      </w:rPr>
    </w:pPr>
    <w:r w:rsidRPr="00615533">
      <w:rPr>
        <w:rFonts w:ascii="华文楷体" w:eastAsia="华文楷体" w:hAnsi="华文楷体" w:hint="eastAsia"/>
      </w:rPr>
      <w:t>作者简介：</w:t>
    </w:r>
    <w:r w:rsidRPr="00615533">
      <w:rPr>
        <w:rFonts w:ascii="华文楷体" w:eastAsia="华文楷体" w:hAnsi="华文楷体"/>
      </w:rPr>
      <w:t>1.吴</w:t>
    </w:r>
    <w:proofErr w:type="gramStart"/>
    <w:r w:rsidRPr="00615533">
      <w:rPr>
        <w:rFonts w:ascii="华文楷体" w:eastAsia="华文楷体" w:hAnsi="华文楷体"/>
      </w:rPr>
      <w:t>焚</w:t>
    </w:r>
    <w:proofErr w:type="gramEnd"/>
    <w:r w:rsidRPr="00615533">
      <w:rPr>
        <w:rFonts w:ascii="华文楷体" w:eastAsia="华文楷体" w:hAnsi="华文楷体"/>
      </w:rPr>
      <w:t>供（1980-），男，博士，讲师，研究方向：最优化；2.苗春梅（1977-），女，博士，教授，研究方向：应用数学、数学文化</w:t>
    </w:r>
    <w:r>
      <w:rPr>
        <w:rFonts w:ascii="华文楷体" w:eastAsia="华文楷体" w:hAnsi="华文楷体" w:hint="eastAsia"/>
      </w:rPr>
      <w:t>。</w:t>
    </w:r>
  </w:p>
  <w:p w14:paraId="04AE3391" w14:textId="498FEAAE" w:rsidR="00E63880" w:rsidRPr="00615533" w:rsidRDefault="00E63880" w:rsidP="00E63880">
    <w:pPr>
      <w:jc w:val="left"/>
      <w:rPr>
        <w:rFonts w:ascii="华文楷体" w:eastAsia="华文楷体" w:hAnsi="华文楷体"/>
        <w:b/>
        <w:bCs/>
        <w:sz w:val="32"/>
        <w:szCs w:val="32"/>
      </w:rPr>
    </w:pPr>
    <w:r w:rsidRPr="00E63880">
      <w:rPr>
        <w:rFonts w:ascii="华文楷体" w:eastAsia="华文楷体" w:hAnsi="华文楷体" w:hint="eastAsia"/>
      </w:rPr>
      <w:t>基金项目：广东第二师范学院在线开放课程项目《高等数学》（</w:t>
    </w:r>
    <w:r w:rsidRPr="00E63880">
      <w:rPr>
        <w:rFonts w:ascii="华文楷体" w:eastAsia="华文楷体" w:hAnsi="华文楷体"/>
      </w:rPr>
      <w:t>2021zxkc03）；广东第二师范学院2021年度一流本科课程培育项目《数学分析》（PX-7021558</w:t>
    </w:r>
    <w:r>
      <w:rPr>
        <w:rFonts w:ascii="华文楷体" w:eastAsia="华文楷体" w:hAnsi="华文楷体"/>
      </w:rPr>
      <w:t>）</w:t>
    </w:r>
    <w:r w:rsidRPr="00E63880">
      <w:rPr>
        <w:rFonts w:ascii="华文楷体" w:eastAsia="华文楷体" w:hAnsi="华文楷体"/>
      </w:rPr>
      <w:t>.</w:t>
    </w:r>
  </w:p>
  <w:p w14:paraId="5A206BF1" w14:textId="29FCEBF0" w:rsidR="00615533" w:rsidRPr="00E63880" w:rsidRDefault="00615533" w:rsidP="00615533">
    <w:pPr>
      <w:pStyle w:val="a3"/>
      <w:rPr>
        <w:rFonts w:ascii="华文楷体" w:eastAsia="华文楷体" w:hAnsi="华文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0C8A" w14:textId="77777777" w:rsidR="00D363B3" w:rsidRDefault="00D363B3" w:rsidP="00E650A7">
      <w:r>
        <w:separator/>
      </w:r>
    </w:p>
  </w:footnote>
  <w:footnote w:type="continuationSeparator" w:id="0">
    <w:p w14:paraId="0226A052" w14:textId="77777777" w:rsidR="00D363B3" w:rsidRDefault="00D363B3" w:rsidP="00E6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29BA6D"/>
    <w:multiLevelType w:val="singleLevel"/>
    <w:tmpl w:val="9229BA6D"/>
    <w:lvl w:ilvl="0">
      <w:start w:val="1"/>
      <w:numFmt w:val="decimal"/>
      <w:lvlText w:val="[%1]"/>
      <w:lvlJc w:val="left"/>
      <w:pPr>
        <w:tabs>
          <w:tab w:val="left" w:pos="312"/>
        </w:tabs>
      </w:pPr>
    </w:lvl>
  </w:abstractNum>
  <w:abstractNum w:abstractNumId="1" w15:restartNumberingAfterBreak="0">
    <w:nsid w:val="0F3B6C7D"/>
    <w:multiLevelType w:val="singleLevel"/>
    <w:tmpl w:val="0F3B6C7D"/>
    <w:lvl w:ilvl="0">
      <w:start w:val="2"/>
      <w:numFmt w:val="decimal"/>
      <w:suff w:val="space"/>
      <w:lvlText w:val="%1."/>
      <w:lvlJc w:val="left"/>
    </w:lvl>
  </w:abstractNum>
  <w:abstractNum w:abstractNumId="2" w15:restartNumberingAfterBreak="0">
    <w:nsid w:val="6E394D0B"/>
    <w:multiLevelType w:val="hybridMultilevel"/>
    <w:tmpl w:val="8522D8BA"/>
    <w:lvl w:ilvl="0" w:tplc="639A61C6">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7408AEB6"/>
    <w:multiLevelType w:val="singleLevel"/>
    <w:tmpl w:val="7408AEB6"/>
    <w:lvl w:ilvl="0">
      <w:start w:val="3"/>
      <w:numFmt w:val="decimal"/>
      <w:lvlText w:val="%1."/>
      <w:lvlJc w:val="left"/>
      <w:pPr>
        <w:tabs>
          <w:tab w:val="left" w:pos="312"/>
        </w:tabs>
      </w:pPr>
    </w:lvl>
  </w:abstractNum>
  <w:abstractNum w:abstractNumId="4" w15:restartNumberingAfterBreak="0">
    <w:nsid w:val="7BF77A25"/>
    <w:multiLevelType w:val="multilevel"/>
    <w:tmpl w:val="7BF77A25"/>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CBD2A0E"/>
    <w:multiLevelType w:val="hybridMultilevel"/>
    <w:tmpl w:val="65DAE9A4"/>
    <w:lvl w:ilvl="0" w:tplc="62827D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5403525">
    <w:abstractNumId w:val="4"/>
  </w:num>
  <w:num w:numId="2" w16cid:durableId="1457333134">
    <w:abstractNumId w:val="3"/>
  </w:num>
  <w:num w:numId="3" w16cid:durableId="1824930070">
    <w:abstractNumId w:val="5"/>
  </w:num>
  <w:num w:numId="4" w16cid:durableId="1879510287">
    <w:abstractNumId w:val="2"/>
  </w:num>
  <w:num w:numId="5" w16cid:durableId="669021867">
    <w:abstractNumId w:val="0"/>
  </w:num>
  <w:num w:numId="6" w16cid:durableId="91312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Y2Y2UxM2IwM2VmYjgyNGVlY2ZlODNmMjY3NTE3Y2UifQ=="/>
  </w:docVars>
  <w:rsids>
    <w:rsidRoot w:val="0070492D"/>
    <w:rsid w:val="00025970"/>
    <w:rsid w:val="00090B29"/>
    <w:rsid w:val="000D6D7E"/>
    <w:rsid w:val="000E74C1"/>
    <w:rsid w:val="00113119"/>
    <w:rsid w:val="001156CE"/>
    <w:rsid w:val="0011622A"/>
    <w:rsid w:val="00116F9F"/>
    <w:rsid w:val="00125915"/>
    <w:rsid w:val="001756AC"/>
    <w:rsid w:val="00175ED0"/>
    <w:rsid w:val="001A7BF0"/>
    <w:rsid w:val="00255340"/>
    <w:rsid w:val="00264904"/>
    <w:rsid w:val="00264E7A"/>
    <w:rsid w:val="00271BC0"/>
    <w:rsid w:val="00276C5F"/>
    <w:rsid w:val="002928E1"/>
    <w:rsid w:val="002C16F2"/>
    <w:rsid w:val="002C4EE7"/>
    <w:rsid w:val="002C5BE7"/>
    <w:rsid w:val="002D1F74"/>
    <w:rsid w:val="00342D9C"/>
    <w:rsid w:val="00382E48"/>
    <w:rsid w:val="003A06CE"/>
    <w:rsid w:val="003A1F67"/>
    <w:rsid w:val="003B0641"/>
    <w:rsid w:val="003C73E4"/>
    <w:rsid w:val="00415147"/>
    <w:rsid w:val="00421289"/>
    <w:rsid w:val="00425121"/>
    <w:rsid w:val="00431404"/>
    <w:rsid w:val="00431E0B"/>
    <w:rsid w:val="00437DF2"/>
    <w:rsid w:val="00457C98"/>
    <w:rsid w:val="0046789D"/>
    <w:rsid w:val="00467AB0"/>
    <w:rsid w:val="00470769"/>
    <w:rsid w:val="004A2ADF"/>
    <w:rsid w:val="004C276F"/>
    <w:rsid w:val="004D03A1"/>
    <w:rsid w:val="00500C78"/>
    <w:rsid w:val="00562936"/>
    <w:rsid w:val="00566B6C"/>
    <w:rsid w:val="00575D2D"/>
    <w:rsid w:val="005A574B"/>
    <w:rsid w:val="005D2032"/>
    <w:rsid w:val="00600ECE"/>
    <w:rsid w:val="00615533"/>
    <w:rsid w:val="006628B7"/>
    <w:rsid w:val="00670A92"/>
    <w:rsid w:val="00684D3F"/>
    <w:rsid w:val="006D219A"/>
    <w:rsid w:val="0070492D"/>
    <w:rsid w:val="00711A4A"/>
    <w:rsid w:val="007330EA"/>
    <w:rsid w:val="00740D28"/>
    <w:rsid w:val="0074749F"/>
    <w:rsid w:val="0074795B"/>
    <w:rsid w:val="007817AF"/>
    <w:rsid w:val="00782884"/>
    <w:rsid w:val="007934AE"/>
    <w:rsid w:val="007F301D"/>
    <w:rsid w:val="00837282"/>
    <w:rsid w:val="00840C94"/>
    <w:rsid w:val="00856F15"/>
    <w:rsid w:val="008A3EF8"/>
    <w:rsid w:val="008C43BA"/>
    <w:rsid w:val="008D7431"/>
    <w:rsid w:val="00901C12"/>
    <w:rsid w:val="00975EB6"/>
    <w:rsid w:val="009E038C"/>
    <w:rsid w:val="009F2314"/>
    <w:rsid w:val="00A258E5"/>
    <w:rsid w:val="00A5611F"/>
    <w:rsid w:val="00A65547"/>
    <w:rsid w:val="00A76367"/>
    <w:rsid w:val="00AA349C"/>
    <w:rsid w:val="00AB37A9"/>
    <w:rsid w:val="00AB676E"/>
    <w:rsid w:val="00AC46F8"/>
    <w:rsid w:val="00AD5303"/>
    <w:rsid w:val="00AE0555"/>
    <w:rsid w:val="00AE736D"/>
    <w:rsid w:val="00B632BA"/>
    <w:rsid w:val="00B65D28"/>
    <w:rsid w:val="00BA4AB3"/>
    <w:rsid w:val="00BB4BFA"/>
    <w:rsid w:val="00C01C49"/>
    <w:rsid w:val="00C21986"/>
    <w:rsid w:val="00C43080"/>
    <w:rsid w:val="00C92DBD"/>
    <w:rsid w:val="00CD441F"/>
    <w:rsid w:val="00CF1CA7"/>
    <w:rsid w:val="00D35F50"/>
    <w:rsid w:val="00D363B3"/>
    <w:rsid w:val="00D52BD2"/>
    <w:rsid w:val="00D57E6D"/>
    <w:rsid w:val="00D73C82"/>
    <w:rsid w:val="00D84540"/>
    <w:rsid w:val="00DB64BD"/>
    <w:rsid w:val="00DE0AAD"/>
    <w:rsid w:val="00E130C0"/>
    <w:rsid w:val="00E42E16"/>
    <w:rsid w:val="00E46199"/>
    <w:rsid w:val="00E63880"/>
    <w:rsid w:val="00E650A7"/>
    <w:rsid w:val="00E6599E"/>
    <w:rsid w:val="00E71096"/>
    <w:rsid w:val="00E85DE0"/>
    <w:rsid w:val="00EC6D51"/>
    <w:rsid w:val="00EE191A"/>
    <w:rsid w:val="00EE2D3B"/>
    <w:rsid w:val="00F004CD"/>
    <w:rsid w:val="00F03B8C"/>
    <w:rsid w:val="00F15BC1"/>
    <w:rsid w:val="00F34D3F"/>
    <w:rsid w:val="00F47C7B"/>
    <w:rsid w:val="00F52A7E"/>
    <w:rsid w:val="00F67505"/>
    <w:rsid w:val="00F70B58"/>
    <w:rsid w:val="00FA0814"/>
    <w:rsid w:val="3153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0944"/>
  <w15:docId w15:val="{3EFD13EF-7F7E-42AC-8E00-2D26EE53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fontstyle01">
    <w:name w:val="fontstyle01"/>
    <w:basedOn w:val="a0"/>
    <w:rPr>
      <w:rFonts w:ascii="B3+SimSun" w:hAnsi="B3+SimSun" w:hint="default"/>
      <w:color w:val="44444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8040BE9D54723B944291FD69CD553"/>
        <w:category>
          <w:name w:val="常规"/>
          <w:gallery w:val="placeholder"/>
        </w:category>
        <w:types>
          <w:type w:val="bbPlcHdr"/>
        </w:types>
        <w:behaviors>
          <w:behavior w:val="content"/>
        </w:behaviors>
        <w:guid w:val="{0A4C9EA3-CBC2-4CEB-9E42-34F3C981A1AD}"/>
      </w:docPartPr>
      <w:docPartBody>
        <w:p w:rsidR="00000000" w:rsidRDefault="00045906" w:rsidP="00045906">
          <w:pPr>
            <w:pStyle w:val="0CD8040BE9D54723B944291FD69CD553"/>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3+SimSun">
    <w:altName w:val="Cambria"/>
    <w:charset w:val="00"/>
    <w:family w:val="roman"/>
    <w:pitch w:val="default"/>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06"/>
    <w:rsid w:val="00045906"/>
    <w:rsid w:val="00EC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D8040BE9D54723B944291FD69CD553">
    <w:name w:val="0CD8040BE9D54723B944291FD69CD553"/>
    <w:rsid w:val="000459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1699</TotalTime>
  <Pages>12</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FG</dc:creator>
  <cp:lastModifiedBy>Frank wu</cp:lastModifiedBy>
  <cp:revision>11</cp:revision>
  <dcterms:created xsi:type="dcterms:W3CDTF">2023-03-31T02:34:00Z</dcterms:created>
  <dcterms:modified xsi:type="dcterms:W3CDTF">2023-10-20T03:46:00Z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F23C5F8842CE4F12A2EDE6F7B32DEB79_12</vt:lpwstr>
  </property>
</Properties>
</file>