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CFB" w:rsidRPr="00A36601" w:rsidRDefault="00DB30DB" w:rsidP="00643A4D">
      <w:pPr>
        <w:jc w:val="center"/>
        <w:rPr>
          <w:sz w:val="30"/>
          <w:szCs w:val="30"/>
        </w:rPr>
      </w:pPr>
      <w:r w:rsidRPr="00A36601">
        <w:rPr>
          <w:sz w:val="30"/>
          <w:szCs w:val="30"/>
        </w:rPr>
        <w:t>新工科建设背景下</w:t>
      </w:r>
      <w:r w:rsidRPr="00A36601">
        <w:rPr>
          <w:rFonts w:hint="eastAsia"/>
          <w:sz w:val="30"/>
          <w:szCs w:val="30"/>
        </w:rPr>
        <w:t>智能建造专业</w:t>
      </w:r>
      <w:r w:rsidRPr="00A36601">
        <w:rPr>
          <w:sz w:val="30"/>
          <w:szCs w:val="30"/>
        </w:rPr>
        <w:t>培养方案</w:t>
      </w:r>
      <w:r w:rsidRPr="00A36601">
        <w:rPr>
          <w:rFonts w:hint="eastAsia"/>
          <w:sz w:val="30"/>
          <w:szCs w:val="30"/>
        </w:rPr>
        <w:t>的制定</w:t>
      </w:r>
    </w:p>
    <w:p w:rsidR="00DB30DB" w:rsidRPr="00A36601" w:rsidRDefault="00DB30DB" w:rsidP="00643A4D">
      <w:pPr>
        <w:jc w:val="center"/>
        <w:rPr>
          <w:sz w:val="30"/>
          <w:szCs w:val="30"/>
        </w:rPr>
      </w:pPr>
      <w:r w:rsidRPr="00A36601">
        <w:rPr>
          <w:rFonts w:hint="eastAsia"/>
          <w:sz w:val="30"/>
          <w:szCs w:val="30"/>
        </w:rPr>
        <w:t>——基于</w:t>
      </w:r>
      <w:r w:rsidR="005A49BC" w:rsidRPr="00A36601">
        <w:rPr>
          <w:rFonts w:hint="eastAsia"/>
          <w:sz w:val="30"/>
          <w:szCs w:val="30"/>
        </w:rPr>
        <w:t>20</w:t>
      </w:r>
      <w:r w:rsidRPr="00A36601">
        <w:rPr>
          <w:rFonts w:hint="eastAsia"/>
          <w:sz w:val="30"/>
          <w:szCs w:val="30"/>
        </w:rPr>
        <w:t>所院校数据的分析</w:t>
      </w:r>
    </w:p>
    <w:p w:rsidR="00DB30DB" w:rsidRDefault="00A36601" w:rsidP="00A36601">
      <w:pPr>
        <w:jc w:val="center"/>
      </w:pPr>
      <w:r>
        <w:rPr>
          <w:rFonts w:hint="eastAsia"/>
        </w:rPr>
        <w:t>张 泳</w:t>
      </w:r>
      <w:r w:rsidR="00864079">
        <w:rPr>
          <w:rFonts w:hint="eastAsia"/>
        </w:rPr>
        <w:t xml:space="preserve"> </w:t>
      </w:r>
      <w:r w:rsidR="00864079">
        <w:t xml:space="preserve"> </w:t>
      </w:r>
      <w:r w:rsidR="00864079">
        <w:rPr>
          <w:rFonts w:hint="eastAsia"/>
        </w:rPr>
        <w:t xml:space="preserve">付 </w:t>
      </w:r>
      <w:r w:rsidR="00864079">
        <w:t xml:space="preserve"> </w:t>
      </w:r>
      <w:r w:rsidR="00864079">
        <w:rPr>
          <w:rFonts w:hint="eastAsia"/>
        </w:rPr>
        <w:t>君</w:t>
      </w:r>
    </w:p>
    <w:p w:rsidR="00A36601" w:rsidRDefault="00A36601" w:rsidP="00A36601">
      <w:pPr>
        <w:jc w:val="center"/>
      </w:pPr>
      <w:r>
        <w:rPr>
          <w:rFonts w:hint="eastAsia"/>
        </w:rPr>
        <w:t>（华侨大学土木工程学院</w:t>
      </w:r>
      <w:r w:rsidR="00EB00C1">
        <w:rPr>
          <w:rFonts w:hint="eastAsia"/>
        </w:rPr>
        <w:t xml:space="preserve"> </w:t>
      </w:r>
      <w:r w:rsidR="00EB00C1">
        <w:t xml:space="preserve"> </w:t>
      </w:r>
      <w:r w:rsidR="00EB00C1">
        <w:rPr>
          <w:rFonts w:hint="eastAsia"/>
        </w:rPr>
        <w:t xml:space="preserve">福建 厦门 </w:t>
      </w:r>
      <w:r w:rsidR="00EB00C1">
        <w:t xml:space="preserve">  </w:t>
      </w:r>
      <w:r w:rsidR="00EB00C1">
        <w:rPr>
          <w:rFonts w:hint="eastAsia"/>
        </w:rPr>
        <w:t>362021</w:t>
      </w:r>
      <w:r>
        <w:rPr>
          <w:rFonts w:hint="eastAsia"/>
        </w:rPr>
        <w:t>）</w:t>
      </w:r>
    </w:p>
    <w:p w:rsidR="00A36601" w:rsidRPr="00AD2614" w:rsidRDefault="00A36601" w:rsidP="00A36601">
      <w:pPr>
        <w:jc w:val="left"/>
        <w:rPr>
          <w:rFonts w:ascii="KaiTi" w:eastAsia="KaiTi" w:hAnsi="KaiTi"/>
        </w:rPr>
      </w:pPr>
      <w:r w:rsidRPr="00AD2614">
        <w:rPr>
          <w:rFonts w:ascii="KaiTi" w:eastAsia="KaiTi" w:hAnsi="KaiTi" w:hint="eastAsia"/>
        </w:rPr>
        <w:t>摘要：</w:t>
      </w:r>
      <w:r w:rsidR="002042C5" w:rsidRPr="00AD2614">
        <w:rPr>
          <w:rFonts w:ascii="KaiTi" w:eastAsia="KaiTi" w:hAnsi="KaiTi" w:hint="eastAsia"/>
        </w:rPr>
        <w:t>收集了</w:t>
      </w:r>
      <w:r w:rsidR="00EB00C1" w:rsidRPr="00AD2614">
        <w:rPr>
          <w:rFonts w:ascii="KaiTi" w:eastAsia="KaiTi" w:hAnsi="KaiTi" w:hint="eastAsia"/>
        </w:rPr>
        <w:t>20所院校智能建造人才培养方案，</w:t>
      </w:r>
      <w:r w:rsidR="000C435C" w:rsidRPr="00AD2614">
        <w:rPr>
          <w:rFonts w:ascii="KaiTi" w:eastAsia="KaiTi" w:hAnsi="KaiTi" w:hint="eastAsia"/>
        </w:rPr>
        <w:t>在人才培养目标、毕业总学分与修业年限要求、主干学科、学科基础课及专业课、实践环节等几个方面进行了深入的分析</w:t>
      </w:r>
      <w:r w:rsidR="00C0781C" w:rsidRPr="00AD2614">
        <w:rPr>
          <w:rFonts w:ascii="KaiTi" w:eastAsia="KaiTi" w:hAnsi="KaiTi" w:hint="eastAsia"/>
        </w:rPr>
        <w:t>。在人才培养目标方面各校看法</w:t>
      </w:r>
      <w:r w:rsidR="004B11F1" w:rsidRPr="00AD2614">
        <w:rPr>
          <w:rFonts w:ascii="KaiTi" w:eastAsia="KaiTi" w:hAnsi="KaiTi" w:hint="eastAsia"/>
        </w:rPr>
        <w:t>相对</w:t>
      </w:r>
      <w:r w:rsidR="00C0781C" w:rsidRPr="00AD2614">
        <w:rPr>
          <w:rFonts w:ascii="KaiTi" w:eastAsia="KaiTi" w:hAnsi="KaiTi" w:hint="eastAsia"/>
        </w:rPr>
        <w:t>较为一致</w:t>
      </w:r>
      <w:r w:rsidR="0074405F" w:rsidRPr="00AD2614">
        <w:rPr>
          <w:rFonts w:ascii="KaiTi" w:eastAsia="KaiTi" w:hAnsi="KaiTi" w:hint="eastAsia"/>
        </w:rPr>
        <w:t>。</w:t>
      </w:r>
      <w:r w:rsidR="00416D6B" w:rsidRPr="00AD2614">
        <w:rPr>
          <w:rFonts w:ascii="KaiTi" w:eastAsia="KaiTi" w:hAnsi="KaiTi" w:hint="eastAsia"/>
        </w:rPr>
        <w:t>毕业总学分与修业年限要求能较为充分体现各校的特色。</w:t>
      </w:r>
      <w:r w:rsidR="0074405F" w:rsidRPr="00AD2614">
        <w:rPr>
          <w:rFonts w:ascii="KaiTi" w:eastAsia="KaiTi" w:hAnsi="KaiTi" w:hint="eastAsia"/>
        </w:rPr>
        <w:t>对主干学科的认识存在一定的差异。</w:t>
      </w:r>
      <w:r w:rsidR="00B01CC4" w:rsidRPr="00AD2614">
        <w:rPr>
          <w:rFonts w:ascii="KaiTi" w:eastAsia="KaiTi" w:hAnsi="KaiTi" w:hint="eastAsia"/>
        </w:rPr>
        <w:t>学科基础</w:t>
      </w:r>
      <w:r w:rsidR="00495CDA" w:rsidRPr="00AD2614">
        <w:rPr>
          <w:rFonts w:ascii="KaiTi" w:eastAsia="KaiTi" w:hAnsi="KaiTi" w:hint="eastAsia"/>
        </w:rPr>
        <w:t>课</w:t>
      </w:r>
      <w:r w:rsidR="00B01CC4" w:rsidRPr="00AD2614">
        <w:rPr>
          <w:rFonts w:ascii="KaiTi" w:eastAsia="KaiTi" w:hAnsi="KaiTi" w:hint="eastAsia"/>
        </w:rPr>
        <w:t>、专业课及实践环节的设置</w:t>
      </w:r>
      <w:r w:rsidR="00F2649A" w:rsidRPr="00AD2614">
        <w:rPr>
          <w:rFonts w:ascii="KaiTi" w:eastAsia="KaiTi" w:hAnsi="KaiTi" w:hint="eastAsia"/>
        </w:rPr>
        <w:t>形成了较为明确的课程设置模式，但是，各校之间的课程设置还是存在</w:t>
      </w:r>
      <w:r w:rsidR="00102F07" w:rsidRPr="00AD2614">
        <w:rPr>
          <w:rFonts w:ascii="KaiTi" w:eastAsia="KaiTi" w:hAnsi="KaiTi" w:hint="eastAsia"/>
        </w:rPr>
        <w:t>较大</w:t>
      </w:r>
      <w:r w:rsidR="00F2649A" w:rsidRPr="00AD2614">
        <w:rPr>
          <w:rFonts w:ascii="KaiTi" w:eastAsia="KaiTi" w:hAnsi="KaiTi" w:hint="eastAsia"/>
        </w:rPr>
        <w:t>的差异，</w:t>
      </w:r>
      <w:r w:rsidR="00737554" w:rsidRPr="00AD2614">
        <w:rPr>
          <w:rFonts w:ascii="KaiTi" w:eastAsia="KaiTi" w:hAnsi="KaiTi" w:hint="eastAsia"/>
        </w:rPr>
        <w:t>从长远角度来看，需要进一步凝练</w:t>
      </w:r>
      <w:r w:rsidR="00AC1D99" w:rsidRPr="00AD2614">
        <w:rPr>
          <w:rFonts w:ascii="KaiTi" w:eastAsia="KaiTi" w:hAnsi="KaiTi" w:hint="eastAsia"/>
        </w:rPr>
        <w:t>，以形成较为明确、清晰、系统的</w:t>
      </w:r>
      <w:r w:rsidR="009A7865">
        <w:rPr>
          <w:rFonts w:ascii="KaiTi" w:eastAsia="KaiTi" w:hAnsi="KaiTi" w:hint="eastAsia"/>
        </w:rPr>
        <w:t>智能建造</w:t>
      </w:r>
      <w:r w:rsidR="00AC1D99" w:rsidRPr="00AD2614">
        <w:rPr>
          <w:rFonts w:ascii="KaiTi" w:eastAsia="KaiTi" w:hAnsi="KaiTi" w:hint="eastAsia"/>
        </w:rPr>
        <w:t>人才专业能力培养体系。</w:t>
      </w:r>
    </w:p>
    <w:p w:rsidR="00A36601" w:rsidRPr="00AD2614" w:rsidRDefault="000D4A00" w:rsidP="00A36601">
      <w:pPr>
        <w:jc w:val="left"/>
        <w:rPr>
          <w:rFonts w:ascii="KaiTi" w:eastAsia="KaiTi" w:hAnsi="KaiTi"/>
        </w:rPr>
      </w:pPr>
      <w:r w:rsidRPr="00AD2614">
        <w:rPr>
          <w:rFonts w:ascii="KaiTi" w:eastAsia="KaiTi" w:hAnsi="KaiTi" w:hint="eastAsia"/>
        </w:rPr>
        <w:t>关键词：</w:t>
      </w:r>
      <w:r w:rsidR="00963EF0" w:rsidRPr="00AD2614">
        <w:rPr>
          <w:rFonts w:ascii="KaiTi" w:eastAsia="KaiTi" w:hAnsi="KaiTi" w:hint="eastAsia"/>
        </w:rPr>
        <w:t>智能建造专业</w:t>
      </w:r>
      <w:r w:rsidR="00E37A29" w:rsidRPr="00AD2614">
        <w:rPr>
          <w:rFonts w:ascii="KaiTi" w:eastAsia="KaiTi" w:hAnsi="KaiTi" w:hint="eastAsia"/>
        </w:rPr>
        <w:t>；人才培养方案</w:t>
      </w:r>
      <w:r w:rsidR="00893A65">
        <w:rPr>
          <w:rFonts w:ascii="KaiTi" w:eastAsia="KaiTi" w:hAnsi="KaiTi" w:hint="eastAsia"/>
        </w:rPr>
        <w:t>；</w:t>
      </w:r>
      <w:r w:rsidR="00DA7BA7">
        <w:rPr>
          <w:rFonts w:ascii="KaiTi" w:eastAsia="KaiTi" w:hAnsi="KaiTi" w:hint="eastAsia"/>
        </w:rPr>
        <w:t>课程</w:t>
      </w:r>
      <w:r w:rsidR="006B33A4">
        <w:rPr>
          <w:rFonts w:ascii="KaiTi" w:eastAsia="KaiTi" w:hAnsi="KaiTi" w:hint="eastAsia"/>
        </w:rPr>
        <w:t>体系</w:t>
      </w:r>
      <w:r w:rsidR="00DA7BA7">
        <w:rPr>
          <w:rFonts w:ascii="KaiTi" w:eastAsia="KaiTi" w:hAnsi="KaiTi" w:hint="eastAsia"/>
        </w:rPr>
        <w:t>优化</w:t>
      </w:r>
    </w:p>
    <w:p w:rsidR="00643A4D" w:rsidRPr="00AE6C8D" w:rsidRDefault="00643A4D">
      <w:pPr>
        <w:rPr>
          <w:rFonts w:ascii="黑体" w:eastAsia="黑体" w:hAnsi="黑体"/>
          <w:sz w:val="28"/>
          <w:szCs w:val="28"/>
        </w:rPr>
      </w:pPr>
      <w:r w:rsidRPr="00AE6C8D">
        <w:rPr>
          <w:rFonts w:ascii="黑体" w:eastAsia="黑体" w:hAnsi="黑体" w:hint="eastAsia"/>
          <w:sz w:val="28"/>
          <w:szCs w:val="28"/>
        </w:rPr>
        <w:t>1、引言</w:t>
      </w:r>
    </w:p>
    <w:p w:rsidR="00DB30DB" w:rsidRDefault="009A49A0" w:rsidP="000F610C">
      <w:pPr>
        <w:spacing w:line="360" w:lineRule="exact"/>
      </w:pPr>
      <w:r>
        <w:t xml:space="preserve">    </w:t>
      </w:r>
      <w:r>
        <w:rPr>
          <w:rFonts w:hint="eastAsia"/>
        </w:rPr>
        <w:t>为了适应社会经济快速发展对新型工科专业人才需要的增长，教育部启动了“新工科”建设工作，</w:t>
      </w:r>
      <w:r w:rsidR="00BE421C">
        <w:rPr>
          <w:rFonts w:hint="eastAsia"/>
        </w:rPr>
        <w:t>要求</w:t>
      </w:r>
      <w:r w:rsidR="0066766F">
        <w:rPr>
          <w:rFonts w:hint="eastAsia"/>
        </w:rPr>
        <w:t>在对传统工科专业进行改革创新的同时，主动设置和发展了一批新型工科专业。</w:t>
      </w:r>
      <w:r w:rsidR="0066766F" w:rsidRPr="0066766F">
        <w:rPr>
          <w:rFonts w:hint="eastAsia"/>
        </w:rPr>
        <w:t>新工科建设以新经济、新产业为背景，需要树立创新型、综合化、全周期工程教育“新理念”，构建新兴工科和传统工科相结合的学科专业“新结构”，探索实施工程教育人才培养的“新模式”，打造具有国际竞争力的工程教育“新质量”，建立完善中国特色工程教育的“新体系”，实现我国从工程教育大国走向工程教育强国</w:t>
      </w:r>
      <w:r w:rsidR="00AD2614" w:rsidRPr="00AD2614">
        <w:rPr>
          <w:rFonts w:hint="eastAsia"/>
          <w:vertAlign w:val="superscript"/>
        </w:rPr>
        <w:t>[</w:t>
      </w:r>
      <w:r w:rsidR="00AD2614" w:rsidRPr="00AD2614">
        <w:rPr>
          <w:vertAlign w:val="superscript"/>
        </w:rPr>
        <w:t>1]</w:t>
      </w:r>
      <w:r w:rsidR="0066766F" w:rsidRPr="0066766F">
        <w:rPr>
          <w:rFonts w:hint="eastAsia"/>
        </w:rPr>
        <w:t>。</w:t>
      </w:r>
    </w:p>
    <w:p w:rsidR="00DB30DB" w:rsidRPr="00C624CE" w:rsidRDefault="008B7A43" w:rsidP="000F610C">
      <w:pPr>
        <w:spacing w:line="360" w:lineRule="exact"/>
      </w:pPr>
      <w:r>
        <w:t xml:space="preserve">    </w:t>
      </w:r>
      <w:r w:rsidR="00853E5E">
        <w:rPr>
          <w:rFonts w:hint="eastAsia"/>
        </w:rPr>
        <w:t>随着5G通讯、人工智能、物联网等信息技术的快速应用</w:t>
      </w:r>
      <w:r w:rsidR="00781DB6">
        <w:rPr>
          <w:rFonts w:hint="eastAsia"/>
        </w:rPr>
        <w:t>和</w:t>
      </w:r>
      <w:r w:rsidR="00853E5E">
        <w:rPr>
          <w:rFonts w:hint="eastAsia"/>
        </w:rPr>
        <w:t>普及，传统的建筑业正在</w:t>
      </w:r>
      <w:r w:rsidR="00781DB6">
        <w:rPr>
          <w:rFonts w:hint="eastAsia"/>
        </w:rPr>
        <w:t>处于产业</w:t>
      </w:r>
      <w:r w:rsidR="006B50D7">
        <w:rPr>
          <w:rFonts w:hint="eastAsia"/>
        </w:rPr>
        <w:t>升级</w:t>
      </w:r>
      <w:r w:rsidR="00781DB6">
        <w:rPr>
          <w:rFonts w:hint="eastAsia"/>
        </w:rPr>
        <w:t>的重要时期，</w:t>
      </w:r>
      <w:r w:rsidR="003633D7">
        <w:rPr>
          <w:rFonts w:hint="eastAsia"/>
        </w:rPr>
        <w:t>逐渐向“智能化”和“信息化”</w:t>
      </w:r>
      <w:r w:rsidR="006B50D7">
        <w:rPr>
          <w:rFonts w:hint="eastAsia"/>
        </w:rPr>
        <w:t>转型</w:t>
      </w:r>
      <w:r w:rsidR="0094295B" w:rsidRPr="00EF3C7D">
        <w:rPr>
          <w:rFonts w:hint="eastAsia"/>
          <w:vertAlign w:val="superscript"/>
        </w:rPr>
        <w:t>[</w:t>
      </w:r>
      <w:r w:rsidR="0094295B" w:rsidRPr="00EF3C7D">
        <w:rPr>
          <w:vertAlign w:val="superscript"/>
        </w:rPr>
        <w:t>2]</w:t>
      </w:r>
      <w:r w:rsidR="003633D7">
        <w:rPr>
          <w:rFonts w:hint="eastAsia"/>
        </w:rPr>
        <w:t>。</w:t>
      </w:r>
      <w:r w:rsidR="00C624CE">
        <w:rPr>
          <w:rFonts w:hint="eastAsia"/>
        </w:rPr>
        <w:t>在这一过程中</w:t>
      </w:r>
      <w:r w:rsidR="00A91D39">
        <w:rPr>
          <w:rFonts w:hint="eastAsia"/>
        </w:rPr>
        <w:t>，</w:t>
      </w:r>
      <w:r w:rsidR="006E5CCB">
        <w:rPr>
          <w:rFonts w:hint="eastAsia"/>
        </w:rPr>
        <w:t>智能建造将成为建筑业高质量发展的新动能和信息化智能化建设的落脚点</w:t>
      </w:r>
      <w:r w:rsidR="0094295B" w:rsidRPr="00EF3C7D">
        <w:rPr>
          <w:rFonts w:hint="eastAsia"/>
          <w:vertAlign w:val="superscript"/>
        </w:rPr>
        <w:t>[</w:t>
      </w:r>
      <w:r w:rsidR="0094295B" w:rsidRPr="00EF3C7D">
        <w:rPr>
          <w:vertAlign w:val="superscript"/>
        </w:rPr>
        <w:t>3]</w:t>
      </w:r>
      <w:r w:rsidR="006E5CCB">
        <w:rPr>
          <w:rFonts w:hint="eastAsia"/>
        </w:rPr>
        <w:t>。</w:t>
      </w:r>
      <w:r w:rsidR="00286137">
        <w:rPr>
          <w:rFonts w:hint="eastAsia"/>
        </w:rPr>
        <w:t>所谓智能建造，是新一代信息技术与工程建造融合形成的工程建造创新模式：即利用以“三化”（数字化、网络化和智能化）和“三算”（算据、算力、算法）为特征的新一代信息技术，在实现工程建造要素资源数字化的基础上，通过规范化建模、网络化交互、可视化认知、高性能计算以及智能化决策支持，实现数字链驱动下的工程立项策划、规划设计、施（加）工生产、运维服务一体化集成与高效率协同，不断拓展工程建造价值链、改造产业结构形态，向用户交付以人为本、绿色可持续的智能化工程产品与服务。</w:t>
      </w:r>
      <w:r w:rsidR="00286137">
        <w:t>智能建造不仅仅是工程建造技术的变革创新，更将从产品形态、建造方式、经营理念、市场</w:t>
      </w:r>
      <w:r w:rsidR="00286137">
        <w:rPr>
          <w:rFonts w:hint="eastAsia"/>
        </w:rPr>
        <w:t>形态以及行业管理等方面重塑建筑业</w:t>
      </w:r>
      <w:r w:rsidR="00AD2614" w:rsidRPr="00AD2614">
        <w:rPr>
          <w:rFonts w:hint="eastAsia"/>
          <w:vertAlign w:val="superscript"/>
        </w:rPr>
        <w:t>[</w:t>
      </w:r>
      <w:r w:rsidR="0094295B">
        <w:rPr>
          <w:vertAlign w:val="superscript"/>
        </w:rPr>
        <w:t>4</w:t>
      </w:r>
      <w:r w:rsidR="00AD2614" w:rsidRPr="00AD2614">
        <w:rPr>
          <w:vertAlign w:val="superscript"/>
        </w:rPr>
        <w:t>]</w:t>
      </w:r>
      <w:r w:rsidR="00286137">
        <w:rPr>
          <w:rFonts w:hint="eastAsia"/>
        </w:rPr>
        <w:t>。</w:t>
      </w:r>
    </w:p>
    <w:p w:rsidR="00DB30DB" w:rsidRDefault="00754913" w:rsidP="000F610C">
      <w:pPr>
        <w:spacing w:line="360" w:lineRule="exact"/>
        <w:ind w:firstLine="420"/>
      </w:pPr>
      <w:r>
        <w:rPr>
          <w:rFonts w:hint="eastAsia"/>
        </w:rPr>
        <w:t>新的产业发展方向对</w:t>
      </w:r>
      <w:r w:rsidR="006955D5">
        <w:rPr>
          <w:rFonts w:hint="eastAsia"/>
        </w:rPr>
        <w:t>人才培养提出了新的要求</w:t>
      </w:r>
      <w:r w:rsidR="00CC4C11">
        <w:rPr>
          <w:rFonts w:hint="eastAsia"/>
        </w:rPr>
        <w:t>，为了满足社会对智能建造人才的需求，</w:t>
      </w:r>
      <w:r w:rsidR="00C46E5F">
        <w:rPr>
          <w:rFonts w:hint="eastAsia"/>
        </w:rPr>
        <w:t>在如火如荼的“新工科”建设大背景下，</w:t>
      </w:r>
      <w:r w:rsidR="0032590B">
        <w:rPr>
          <w:rFonts w:hint="eastAsia"/>
        </w:rPr>
        <w:t>201</w:t>
      </w:r>
      <w:r w:rsidR="00597708">
        <w:rPr>
          <w:rFonts w:hint="eastAsia"/>
        </w:rPr>
        <w:t>7</w:t>
      </w:r>
      <w:r w:rsidR="0032590B">
        <w:rPr>
          <w:rFonts w:hint="eastAsia"/>
        </w:rPr>
        <w:t>年</w:t>
      </w:r>
      <w:r w:rsidR="00530A38">
        <w:rPr>
          <w:rFonts w:hint="eastAsia"/>
        </w:rPr>
        <w:t>，同济大学</w:t>
      </w:r>
      <w:r w:rsidR="00A25FAF">
        <w:rPr>
          <w:rFonts w:hint="eastAsia"/>
        </w:rPr>
        <w:t>获批开设国内首个智能建造专业。</w:t>
      </w:r>
      <w:r w:rsidR="002F546A">
        <w:rPr>
          <w:rFonts w:hint="eastAsia"/>
        </w:rPr>
        <w:t>其后，智能建造专业的发展进入快车道，</w:t>
      </w:r>
      <w:r w:rsidR="00E605A1">
        <w:rPr>
          <w:rFonts w:hint="eastAsia"/>
        </w:rPr>
        <w:t>截至202</w:t>
      </w:r>
      <w:r w:rsidR="00516A4B">
        <w:rPr>
          <w:rFonts w:hint="eastAsia"/>
        </w:rPr>
        <w:t>3</w:t>
      </w:r>
      <w:r w:rsidR="00E605A1">
        <w:rPr>
          <w:rFonts w:hint="eastAsia"/>
        </w:rPr>
        <w:t>年</w:t>
      </w:r>
      <w:r w:rsidR="00AD2614">
        <w:rPr>
          <w:rFonts w:hint="eastAsia"/>
        </w:rPr>
        <w:t>9月</w:t>
      </w:r>
      <w:r w:rsidR="00E605A1">
        <w:rPr>
          <w:rFonts w:hint="eastAsia"/>
        </w:rPr>
        <w:t>，</w:t>
      </w:r>
      <w:r w:rsidR="00516A4B">
        <w:rPr>
          <w:rFonts w:hint="eastAsia"/>
        </w:rPr>
        <w:t>全国共有99</w:t>
      </w:r>
      <w:r w:rsidR="0099293F">
        <w:rPr>
          <w:rFonts w:hint="eastAsia"/>
        </w:rPr>
        <w:t>所高校获批智能建造专业</w:t>
      </w:r>
      <w:r w:rsidR="00597708">
        <w:rPr>
          <w:rFonts w:hint="eastAsia"/>
        </w:rPr>
        <w:t>。</w:t>
      </w:r>
    </w:p>
    <w:p w:rsidR="00EF3C7D" w:rsidRDefault="00B12186" w:rsidP="000F610C">
      <w:pPr>
        <w:spacing w:line="360" w:lineRule="exact"/>
        <w:ind w:firstLine="420"/>
      </w:pPr>
      <w:r>
        <w:rPr>
          <w:rFonts w:hint="eastAsia"/>
        </w:rPr>
        <w:t>有别于传统的</w:t>
      </w:r>
      <w:r w:rsidR="00E33198">
        <w:rPr>
          <w:rFonts w:hint="eastAsia"/>
        </w:rPr>
        <w:t>土建类专业人才</w:t>
      </w:r>
      <w:r>
        <w:rPr>
          <w:rFonts w:hint="eastAsia"/>
        </w:rPr>
        <w:t>，</w:t>
      </w:r>
      <w:r w:rsidR="00AC0CC6">
        <w:rPr>
          <w:rFonts w:hint="eastAsia"/>
        </w:rPr>
        <w:t>智能建造</w:t>
      </w:r>
      <w:r w:rsidR="00E8661B">
        <w:rPr>
          <w:rFonts w:hint="eastAsia"/>
        </w:rPr>
        <w:t>人才</w:t>
      </w:r>
      <w:r w:rsidR="00AC0CC6" w:rsidRPr="00AC0CC6">
        <w:rPr>
          <w:rFonts w:hint="eastAsia"/>
        </w:rPr>
        <w:t>对知识结构、知识体系和专业能力等各方面提出新</w:t>
      </w:r>
      <w:r w:rsidR="00D3469B">
        <w:rPr>
          <w:rFonts w:hint="eastAsia"/>
        </w:rPr>
        <w:t>了</w:t>
      </w:r>
      <w:r w:rsidR="00AC0CC6" w:rsidRPr="00AC0CC6">
        <w:rPr>
          <w:rFonts w:hint="eastAsia"/>
        </w:rPr>
        <w:t>的要求。</w:t>
      </w:r>
      <w:r w:rsidR="001226C7">
        <w:rPr>
          <w:rFonts w:hint="eastAsia"/>
        </w:rPr>
        <w:t>作为智能建造专业人才应该具有</w:t>
      </w:r>
      <w:r w:rsidR="00C7012F">
        <w:rPr>
          <w:rFonts w:hint="eastAsia"/>
        </w:rPr>
        <w:t>“</w:t>
      </w:r>
      <w:r w:rsidR="001226C7" w:rsidRPr="001226C7">
        <w:t>T”形知识</w:t>
      </w:r>
      <w:r w:rsidR="0071387E">
        <w:rPr>
          <w:rFonts w:hint="eastAsia"/>
        </w:rPr>
        <w:t>结构</w:t>
      </w:r>
      <w:r w:rsidR="001226C7">
        <w:rPr>
          <w:rFonts w:hint="eastAsia"/>
        </w:rPr>
        <w:t>、</w:t>
      </w:r>
      <w:r w:rsidR="004A4D72">
        <w:rPr>
          <w:rFonts w:hint="eastAsia"/>
        </w:rPr>
        <w:t>突出工程建造能力和较强的社会工程意识</w:t>
      </w:r>
      <w:r w:rsidR="00E21019" w:rsidRPr="009D6A46">
        <w:rPr>
          <w:rFonts w:hint="eastAsia"/>
          <w:vertAlign w:val="superscript"/>
        </w:rPr>
        <w:t>[</w:t>
      </w:r>
      <w:r w:rsidR="00E21019" w:rsidRPr="009D6A46">
        <w:rPr>
          <w:vertAlign w:val="superscript"/>
        </w:rPr>
        <w:t>5]</w:t>
      </w:r>
      <w:r w:rsidR="001226C7" w:rsidRPr="001226C7">
        <w:t>。</w:t>
      </w:r>
      <w:r w:rsidR="009545A2">
        <w:rPr>
          <w:rFonts w:hint="eastAsia"/>
        </w:rPr>
        <w:t>作为一个新专业</w:t>
      </w:r>
      <w:r w:rsidR="006B6C2F">
        <w:rPr>
          <w:rFonts w:hint="eastAsia"/>
        </w:rPr>
        <w:t>，智能建造人才培养</w:t>
      </w:r>
      <w:r w:rsidR="00313F71">
        <w:rPr>
          <w:rFonts w:hint="eastAsia"/>
        </w:rPr>
        <w:t>还处于探索当中，</w:t>
      </w:r>
      <w:r w:rsidR="003A2745">
        <w:rPr>
          <w:rFonts w:hint="eastAsia"/>
        </w:rPr>
        <w:t>许多高校进行了有益的尝试和探索。</w:t>
      </w:r>
    </w:p>
    <w:p w:rsidR="00B12186" w:rsidRDefault="003A2745" w:rsidP="000F610C">
      <w:pPr>
        <w:spacing w:line="360" w:lineRule="exact"/>
        <w:ind w:firstLine="420"/>
      </w:pPr>
      <w:r>
        <w:rPr>
          <w:rFonts w:hint="eastAsia"/>
        </w:rPr>
        <w:lastRenderedPageBreak/>
        <w:t>本文</w:t>
      </w:r>
      <w:r w:rsidR="00C836DA">
        <w:rPr>
          <w:rFonts w:hint="eastAsia"/>
        </w:rPr>
        <w:t>以智能建造人才培养方案为对象，</w:t>
      </w:r>
      <w:r w:rsidR="00251364">
        <w:rPr>
          <w:rFonts w:hint="eastAsia"/>
        </w:rPr>
        <w:t>通过</w:t>
      </w:r>
      <w:r w:rsidR="00EC1FD8">
        <w:rPr>
          <w:rFonts w:hint="eastAsia"/>
        </w:rPr>
        <w:t>收集国内部分开设智能建造专业高校的人才培养方案</w:t>
      </w:r>
      <w:r w:rsidR="00313E0E">
        <w:rPr>
          <w:rFonts w:hint="eastAsia"/>
        </w:rPr>
        <w:t>并进行分析和研究，</w:t>
      </w:r>
      <w:r w:rsidR="00403AEF">
        <w:rPr>
          <w:rFonts w:hint="eastAsia"/>
        </w:rPr>
        <w:t>发现其中的规律，</w:t>
      </w:r>
      <w:r w:rsidR="00EF3C7D">
        <w:rPr>
          <w:rFonts w:hint="eastAsia"/>
        </w:rPr>
        <w:t>力图</w:t>
      </w:r>
      <w:r w:rsidR="00403AEF">
        <w:rPr>
          <w:rFonts w:hint="eastAsia"/>
        </w:rPr>
        <w:t>为相关学校人才培养方案的制订提供依据。</w:t>
      </w:r>
    </w:p>
    <w:p w:rsidR="00C91A9A" w:rsidRPr="00AE6C8D" w:rsidRDefault="00C91A9A" w:rsidP="00AE6C8D">
      <w:pPr>
        <w:rPr>
          <w:rFonts w:ascii="黑体" w:eastAsia="黑体" w:hAnsi="黑体"/>
          <w:sz w:val="28"/>
          <w:szCs w:val="28"/>
        </w:rPr>
      </w:pPr>
      <w:r w:rsidRPr="00AE6C8D">
        <w:rPr>
          <w:rFonts w:ascii="黑体" w:eastAsia="黑体" w:hAnsi="黑体" w:hint="eastAsia"/>
          <w:sz w:val="28"/>
          <w:szCs w:val="28"/>
        </w:rPr>
        <w:t>2、研究</w:t>
      </w:r>
      <w:r w:rsidR="00E64F11" w:rsidRPr="00AE6C8D">
        <w:rPr>
          <w:rFonts w:ascii="黑体" w:eastAsia="黑体" w:hAnsi="黑体" w:hint="eastAsia"/>
          <w:sz w:val="28"/>
          <w:szCs w:val="28"/>
        </w:rPr>
        <w:t>对象</w:t>
      </w:r>
      <w:r w:rsidR="009A5565" w:rsidRPr="00AE6C8D">
        <w:rPr>
          <w:rFonts w:ascii="黑体" w:eastAsia="黑体" w:hAnsi="黑体" w:hint="eastAsia"/>
          <w:sz w:val="28"/>
          <w:szCs w:val="28"/>
        </w:rPr>
        <w:t>和</w:t>
      </w:r>
      <w:r w:rsidRPr="00AE6C8D">
        <w:rPr>
          <w:rFonts w:ascii="黑体" w:eastAsia="黑体" w:hAnsi="黑体" w:hint="eastAsia"/>
          <w:sz w:val="28"/>
          <w:szCs w:val="28"/>
        </w:rPr>
        <w:t>方法</w:t>
      </w:r>
    </w:p>
    <w:p w:rsidR="00302582" w:rsidRPr="00C10637" w:rsidRDefault="00302582" w:rsidP="00C10637">
      <w:pPr>
        <w:rPr>
          <w:b/>
          <w:sz w:val="24"/>
          <w:szCs w:val="24"/>
        </w:rPr>
      </w:pPr>
      <w:r w:rsidRPr="00C10637">
        <w:rPr>
          <w:rFonts w:hint="eastAsia"/>
          <w:b/>
          <w:sz w:val="24"/>
          <w:szCs w:val="24"/>
        </w:rPr>
        <w:t>2.1</w:t>
      </w:r>
      <w:r w:rsidRPr="00C10637">
        <w:rPr>
          <w:b/>
          <w:sz w:val="24"/>
          <w:szCs w:val="24"/>
        </w:rPr>
        <w:t xml:space="preserve"> </w:t>
      </w:r>
      <w:r w:rsidRPr="00C10637">
        <w:rPr>
          <w:rFonts w:hint="eastAsia"/>
          <w:b/>
          <w:sz w:val="24"/>
          <w:szCs w:val="24"/>
        </w:rPr>
        <w:t>研究数据来源</w:t>
      </w:r>
    </w:p>
    <w:p w:rsidR="00CE048E" w:rsidRDefault="000713AD" w:rsidP="000F610C">
      <w:pPr>
        <w:spacing w:line="360" w:lineRule="exact"/>
        <w:ind w:firstLine="420"/>
      </w:pPr>
      <w:r>
        <w:rPr>
          <w:rFonts w:hint="eastAsia"/>
        </w:rPr>
        <w:t>为了深入分析智能建造专业人才培养方案制订的情况，通过互联网公开</w:t>
      </w:r>
      <w:r w:rsidR="00FD1852">
        <w:rPr>
          <w:rFonts w:hint="eastAsia"/>
        </w:rPr>
        <w:t>渠道</w:t>
      </w:r>
      <w:r>
        <w:rPr>
          <w:rFonts w:hint="eastAsia"/>
        </w:rPr>
        <w:t>收集了</w:t>
      </w:r>
      <w:r w:rsidR="00FD1852">
        <w:rPr>
          <w:rFonts w:hint="eastAsia"/>
        </w:rPr>
        <w:t>20所高校智能建造专业人才培养方案，</w:t>
      </w:r>
      <w:r w:rsidR="0032158D">
        <w:rPr>
          <w:rFonts w:hint="eastAsia"/>
        </w:rPr>
        <w:t>来源为各校教务部门或相关</w:t>
      </w:r>
      <w:r w:rsidR="001A4F1B">
        <w:rPr>
          <w:rFonts w:hint="eastAsia"/>
        </w:rPr>
        <w:t>开设专业</w:t>
      </w:r>
      <w:r w:rsidR="0032158D">
        <w:rPr>
          <w:rFonts w:hint="eastAsia"/>
        </w:rPr>
        <w:t>院系</w:t>
      </w:r>
      <w:r w:rsidR="001A4F1B">
        <w:rPr>
          <w:rFonts w:hint="eastAsia"/>
        </w:rPr>
        <w:t>所</w:t>
      </w:r>
      <w:r w:rsidR="0032158D">
        <w:rPr>
          <w:rFonts w:hint="eastAsia"/>
        </w:rPr>
        <w:t>公开挂网的资料。</w:t>
      </w:r>
    </w:p>
    <w:p w:rsidR="006D04AF" w:rsidRDefault="006D04AF" w:rsidP="000F610C">
      <w:pPr>
        <w:spacing w:line="360" w:lineRule="exact"/>
        <w:ind w:firstLine="420"/>
      </w:pPr>
      <w:r>
        <w:rPr>
          <w:rFonts w:hint="eastAsia"/>
        </w:rPr>
        <w:t>20所院校中，</w:t>
      </w:r>
      <w:r w:rsidR="00040F42">
        <w:rPr>
          <w:rFonts w:hint="eastAsia"/>
        </w:rPr>
        <w:t>“</w:t>
      </w:r>
      <w:r w:rsidR="000D64E1">
        <w:rPr>
          <w:rFonts w:hint="eastAsia"/>
        </w:rPr>
        <w:t>双一流</w:t>
      </w:r>
      <w:r w:rsidR="00040F42">
        <w:rPr>
          <w:rFonts w:hint="eastAsia"/>
        </w:rPr>
        <w:t>”</w:t>
      </w:r>
      <w:r w:rsidR="008714DA">
        <w:rPr>
          <w:rFonts w:hint="eastAsia"/>
        </w:rPr>
        <w:t>建设高校7所。</w:t>
      </w:r>
      <w:r w:rsidR="00AF66CC">
        <w:rPr>
          <w:rFonts w:hint="eastAsia"/>
        </w:rPr>
        <w:t>在一般本科院校中，包括</w:t>
      </w:r>
      <w:r w:rsidR="00040F42">
        <w:rPr>
          <w:rFonts w:hint="eastAsia"/>
        </w:rPr>
        <w:t>5所</w:t>
      </w:r>
      <w:r w:rsidR="009F7579">
        <w:rPr>
          <w:rFonts w:hint="eastAsia"/>
        </w:rPr>
        <w:t>民办地方院校。</w:t>
      </w:r>
      <w:r w:rsidR="0039083D">
        <w:rPr>
          <w:rFonts w:hint="eastAsia"/>
        </w:rPr>
        <w:t>为了便于对比分析，将20所院校按照1到20进行编号</w:t>
      </w:r>
      <w:r w:rsidR="00CD441E">
        <w:rPr>
          <w:rFonts w:hint="eastAsia"/>
        </w:rPr>
        <w:t>，学校的基本情况如表1所示</w:t>
      </w:r>
      <w:r w:rsidR="0039083D">
        <w:rPr>
          <w:rFonts w:hint="eastAsia"/>
        </w:rPr>
        <w:t>。</w:t>
      </w:r>
    </w:p>
    <w:p w:rsidR="00BB1916" w:rsidRPr="005F3845" w:rsidRDefault="00BB1916" w:rsidP="00B12186">
      <w:pPr>
        <w:ind w:firstLine="420"/>
        <w:rPr>
          <w:rFonts w:ascii="黑体" w:eastAsia="黑体" w:hAnsi="黑体"/>
        </w:rPr>
      </w:pPr>
      <w:r w:rsidRPr="005F3845">
        <w:rPr>
          <w:rFonts w:ascii="黑体" w:eastAsia="黑体" w:hAnsi="黑体" w:hint="eastAsia"/>
        </w:rPr>
        <w:t xml:space="preserve"> </w:t>
      </w:r>
      <w:r w:rsidRPr="005F3845">
        <w:rPr>
          <w:rFonts w:ascii="黑体" w:eastAsia="黑体" w:hAnsi="黑体"/>
        </w:rPr>
        <w:t xml:space="preserve">        </w:t>
      </w:r>
      <w:r w:rsidRPr="005F3845">
        <w:rPr>
          <w:rFonts w:ascii="黑体" w:eastAsia="黑体" w:hAnsi="黑体" w:hint="eastAsia"/>
        </w:rPr>
        <w:t>表1</w:t>
      </w:r>
      <w:r w:rsidRPr="005F3845">
        <w:rPr>
          <w:rFonts w:ascii="黑体" w:eastAsia="黑体" w:hAnsi="黑体"/>
        </w:rPr>
        <w:t xml:space="preserve">                </w:t>
      </w:r>
      <w:r w:rsidRPr="005F3845">
        <w:rPr>
          <w:rFonts w:ascii="黑体" w:eastAsia="黑体" w:hAnsi="黑体" w:hint="eastAsia"/>
        </w:rPr>
        <w:t>研究对象基本情况表</w:t>
      </w:r>
    </w:p>
    <w:tbl>
      <w:tblPr>
        <w:tblStyle w:val="aa"/>
        <w:tblW w:w="7225" w:type="dxa"/>
        <w:jc w:val="center"/>
        <w:tblLook w:val="04A0" w:firstRow="1" w:lastRow="0" w:firstColumn="1" w:lastColumn="0" w:noHBand="0" w:noVBand="1"/>
      </w:tblPr>
      <w:tblGrid>
        <w:gridCol w:w="988"/>
        <w:gridCol w:w="1417"/>
        <w:gridCol w:w="1134"/>
        <w:gridCol w:w="1134"/>
        <w:gridCol w:w="1418"/>
        <w:gridCol w:w="1134"/>
      </w:tblGrid>
      <w:tr w:rsidR="001C3BB8" w:rsidRPr="00AB656A" w:rsidTr="001C3BB8">
        <w:trPr>
          <w:trHeight w:val="276"/>
          <w:jc w:val="center"/>
        </w:trPr>
        <w:tc>
          <w:tcPr>
            <w:tcW w:w="988"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学校代码</w:t>
            </w:r>
          </w:p>
        </w:tc>
        <w:tc>
          <w:tcPr>
            <w:tcW w:w="1417"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学校性质</w:t>
            </w:r>
          </w:p>
        </w:tc>
        <w:tc>
          <w:tcPr>
            <w:tcW w:w="1134"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是否双一流</w:t>
            </w:r>
          </w:p>
        </w:tc>
        <w:tc>
          <w:tcPr>
            <w:tcW w:w="1134"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学校代码</w:t>
            </w:r>
          </w:p>
        </w:tc>
        <w:tc>
          <w:tcPr>
            <w:tcW w:w="1418"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学校性质</w:t>
            </w:r>
          </w:p>
        </w:tc>
        <w:tc>
          <w:tcPr>
            <w:tcW w:w="1134"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是否双一流</w:t>
            </w:r>
          </w:p>
        </w:tc>
      </w:tr>
      <w:tr w:rsidR="001C3BB8" w:rsidRPr="00AB656A" w:rsidTr="001C3BB8">
        <w:trPr>
          <w:trHeight w:val="276"/>
          <w:jc w:val="center"/>
        </w:trPr>
        <w:tc>
          <w:tcPr>
            <w:tcW w:w="988"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01</w:t>
            </w:r>
          </w:p>
        </w:tc>
        <w:tc>
          <w:tcPr>
            <w:tcW w:w="1417"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教育部直属</w:t>
            </w:r>
          </w:p>
        </w:tc>
        <w:tc>
          <w:tcPr>
            <w:tcW w:w="1134"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是</w:t>
            </w:r>
          </w:p>
        </w:tc>
        <w:tc>
          <w:tcPr>
            <w:tcW w:w="1134"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11</w:t>
            </w:r>
          </w:p>
        </w:tc>
        <w:tc>
          <w:tcPr>
            <w:tcW w:w="1418"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公办地方院校</w:t>
            </w:r>
          </w:p>
        </w:tc>
        <w:tc>
          <w:tcPr>
            <w:tcW w:w="1134"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否</w:t>
            </w:r>
          </w:p>
        </w:tc>
      </w:tr>
      <w:tr w:rsidR="001C3BB8" w:rsidRPr="00AB656A" w:rsidTr="001C3BB8">
        <w:trPr>
          <w:trHeight w:val="276"/>
          <w:jc w:val="center"/>
        </w:trPr>
        <w:tc>
          <w:tcPr>
            <w:tcW w:w="988"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02</w:t>
            </w:r>
          </w:p>
        </w:tc>
        <w:tc>
          <w:tcPr>
            <w:tcW w:w="1417"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教育部直属</w:t>
            </w:r>
          </w:p>
        </w:tc>
        <w:tc>
          <w:tcPr>
            <w:tcW w:w="1134"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是</w:t>
            </w:r>
          </w:p>
        </w:tc>
        <w:tc>
          <w:tcPr>
            <w:tcW w:w="1134"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12</w:t>
            </w:r>
          </w:p>
        </w:tc>
        <w:tc>
          <w:tcPr>
            <w:tcW w:w="1418"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公办地方院校</w:t>
            </w:r>
          </w:p>
        </w:tc>
        <w:tc>
          <w:tcPr>
            <w:tcW w:w="1134"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否</w:t>
            </w:r>
          </w:p>
        </w:tc>
      </w:tr>
      <w:tr w:rsidR="001C3BB8" w:rsidRPr="00AB656A" w:rsidTr="001C3BB8">
        <w:trPr>
          <w:trHeight w:val="276"/>
          <w:jc w:val="center"/>
        </w:trPr>
        <w:tc>
          <w:tcPr>
            <w:tcW w:w="988"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03</w:t>
            </w:r>
          </w:p>
        </w:tc>
        <w:tc>
          <w:tcPr>
            <w:tcW w:w="1417"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教育部直属</w:t>
            </w:r>
          </w:p>
        </w:tc>
        <w:tc>
          <w:tcPr>
            <w:tcW w:w="1134"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是</w:t>
            </w:r>
          </w:p>
        </w:tc>
        <w:tc>
          <w:tcPr>
            <w:tcW w:w="1134"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13</w:t>
            </w:r>
          </w:p>
        </w:tc>
        <w:tc>
          <w:tcPr>
            <w:tcW w:w="1418"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公办地方院校</w:t>
            </w:r>
          </w:p>
        </w:tc>
        <w:tc>
          <w:tcPr>
            <w:tcW w:w="1134"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否</w:t>
            </w:r>
          </w:p>
        </w:tc>
      </w:tr>
      <w:tr w:rsidR="001C3BB8" w:rsidRPr="00AB656A" w:rsidTr="001C3BB8">
        <w:trPr>
          <w:trHeight w:val="276"/>
          <w:jc w:val="center"/>
        </w:trPr>
        <w:tc>
          <w:tcPr>
            <w:tcW w:w="988"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04</w:t>
            </w:r>
          </w:p>
        </w:tc>
        <w:tc>
          <w:tcPr>
            <w:tcW w:w="1417"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教育部直属</w:t>
            </w:r>
          </w:p>
        </w:tc>
        <w:tc>
          <w:tcPr>
            <w:tcW w:w="1134"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是</w:t>
            </w:r>
          </w:p>
        </w:tc>
        <w:tc>
          <w:tcPr>
            <w:tcW w:w="1134"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14</w:t>
            </w:r>
          </w:p>
        </w:tc>
        <w:tc>
          <w:tcPr>
            <w:tcW w:w="1418"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公办地方院校</w:t>
            </w:r>
          </w:p>
        </w:tc>
        <w:tc>
          <w:tcPr>
            <w:tcW w:w="1134"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否</w:t>
            </w:r>
          </w:p>
        </w:tc>
      </w:tr>
      <w:tr w:rsidR="001C3BB8" w:rsidRPr="00AB656A" w:rsidTr="001C3BB8">
        <w:trPr>
          <w:trHeight w:val="276"/>
          <w:jc w:val="center"/>
        </w:trPr>
        <w:tc>
          <w:tcPr>
            <w:tcW w:w="988"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05</w:t>
            </w:r>
          </w:p>
        </w:tc>
        <w:tc>
          <w:tcPr>
            <w:tcW w:w="1417"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教育部直属</w:t>
            </w:r>
          </w:p>
        </w:tc>
        <w:tc>
          <w:tcPr>
            <w:tcW w:w="1134"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是</w:t>
            </w:r>
          </w:p>
        </w:tc>
        <w:tc>
          <w:tcPr>
            <w:tcW w:w="1134"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15</w:t>
            </w:r>
          </w:p>
        </w:tc>
        <w:tc>
          <w:tcPr>
            <w:tcW w:w="1418"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公办地方院校</w:t>
            </w:r>
          </w:p>
        </w:tc>
        <w:tc>
          <w:tcPr>
            <w:tcW w:w="1134"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否</w:t>
            </w:r>
          </w:p>
        </w:tc>
      </w:tr>
      <w:tr w:rsidR="001C3BB8" w:rsidRPr="00AB656A" w:rsidTr="001C3BB8">
        <w:trPr>
          <w:trHeight w:val="276"/>
          <w:jc w:val="center"/>
        </w:trPr>
        <w:tc>
          <w:tcPr>
            <w:tcW w:w="988"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06</w:t>
            </w:r>
          </w:p>
        </w:tc>
        <w:tc>
          <w:tcPr>
            <w:tcW w:w="1417"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公办地方院校</w:t>
            </w:r>
          </w:p>
        </w:tc>
        <w:tc>
          <w:tcPr>
            <w:tcW w:w="1134"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是</w:t>
            </w:r>
          </w:p>
        </w:tc>
        <w:tc>
          <w:tcPr>
            <w:tcW w:w="1134"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16</w:t>
            </w:r>
          </w:p>
        </w:tc>
        <w:tc>
          <w:tcPr>
            <w:tcW w:w="1418"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民办地方院校</w:t>
            </w:r>
          </w:p>
        </w:tc>
        <w:tc>
          <w:tcPr>
            <w:tcW w:w="1134"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否</w:t>
            </w:r>
          </w:p>
        </w:tc>
      </w:tr>
      <w:tr w:rsidR="001C3BB8" w:rsidRPr="00AB656A" w:rsidTr="001C3BB8">
        <w:trPr>
          <w:trHeight w:val="276"/>
          <w:jc w:val="center"/>
        </w:trPr>
        <w:tc>
          <w:tcPr>
            <w:tcW w:w="988"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07</w:t>
            </w:r>
          </w:p>
        </w:tc>
        <w:tc>
          <w:tcPr>
            <w:tcW w:w="1417"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公办地方院校</w:t>
            </w:r>
          </w:p>
        </w:tc>
        <w:tc>
          <w:tcPr>
            <w:tcW w:w="1134"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是</w:t>
            </w:r>
          </w:p>
        </w:tc>
        <w:tc>
          <w:tcPr>
            <w:tcW w:w="1134"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17</w:t>
            </w:r>
          </w:p>
        </w:tc>
        <w:tc>
          <w:tcPr>
            <w:tcW w:w="1418"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民办地方院校</w:t>
            </w:r>
          </w:p>
        </w:tc>
        <w:tc>
          <w:tcPr>
            <w:tcW w:w="1134"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否</w:t>
            </w:r>
          </w:p>
        </w:tc>
      </w:tr>
      <w:tr w:rsidR="001C3BB8" w:rsidRPr="00AB656A" w:rsidTr="001C3BB8">
        <w:trPr>
          <w:trHeight w:val="276"/>
          <w:jc w:val="center"/>
        </w:trPr>
        <w:tc>
          <w:tcPr>
            <w:tcW w:w="988"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08</w:t>
            </w:r>
          </w:p>
        </w:tc>
        <w:tc>
          <w:tcPr>
            <w:tcW w:w="1417"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公办地方院校</w:t>
            </w:r>
          </w:p>
        </w:tc>
        <w:tc>
          <w:tcPr>
            <w:tcW w:w="1134"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否</w:t>
            </w:r>
          </w:p>
        </w:tc>
        <w:tc>
          <w:tcPr>
            <w:tcW w:w="1134"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18</w:t>
            </w:r>
          </w:p>
        </w:tc>
        <w:tc>
          <w:tcPr>
            <w:tcW w:w="1418"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民办地方院校</w:t>
            </w:r>
          </w:p>
        </w:tc>
        <w:tc>
          <w:tcPr>
            <w:tcW w:w="1134"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否</w:t>
            </w:r>
          </w:p>
        </w:tc>
      </w:tr>
      <w:tr w:rsidR="001C3BB8" w:rsidRPr="00AB656A" w:rsidTr="001C3BB8">
        <w:trPr>
          <w:trHeight w:val="276"/>
          <w:jc w:val="center"/>
        </w:trPr>
        <w:tc>
          <w:tcPr>
            <w:tcW w:w="988"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09</w:t>
            </w:r>
          </w:p>
        </w:tc>
        <w:tc>
          <w:tcPr>
            <w:tcW w:w="1417"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公办地方院校</w:t>
            </w:r>
          </w:p>
        </w:tc>
        <w:tc>
          <w:tcPr>
            <w:tcW w:w="1134"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否</w:t>
            </w:r>
          </w:p>
        </w:tc>
        <w:tc>
          <w:tcPr>
            <w:tcW w:w="1134"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19</w:t>
            </w:r>
          </w:p>
        </w:tc>
        <w:tc>
          <w:tcPr>
            <w:tcW w:w="1418"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民办地方院校</w:t>
            </w:r>
          </w:p>
        </w:tc>
        <w:tc>
          <w:tcPr>
            <w:tcW w:w="1134"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否</w:t>
            </w:r>
          </w:p>
        </w:tc>
      </w:tr>
      <w:tr w:rsidR="001C3BB8" w:rsidRPr="00AB656A" w:rsidTr="001C3BB8">
        <w:trPr>
          <w:trHeight w:val="276"/>
          <w:jc w:val="center"/>
        </w:trPr>
        <w:tc>
          <w:tcPr>
            <w:tcW w:w="988"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10</w:t>
            </w:r>
          </w:p>
        </w:tc>
        <w:tc>
          <w:tcPr>
            <w:tcW w:w="1417"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公办地方院校</w:t>
            </w:r>
          </w:p>
        </w:tc>
        <w:tc>
          <w:tcPr>
            <w:tcW w:w="1134" w:type="dxa"/>
            <w:noWrap/>
            <w:vAlign w:val="center"/>
            <w:hideMark/>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否</w:t>
            </w:r>
          </w:p>
        </w:tc>
        <w:tc>
          <w:tcPr>
            <w:tcW w:w="1134"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20</w:t>
            </w:r>
          </w:p>
        </w:tc>
        <w:tc>
          <w:tcPr>
            <w:tcW w:w="1418"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民办地方院校</w:t>
            </w:r>
          </w:p>
        </w:tc>
        <w:tc>
          <w:tcPr>
            <w:tcW w:w="1134" w:type="dxa"/>
            <w:vAlign w:val="center"/>
          </w:tcPr>
          <w:p w:rsidR="001C3BB8" w:rsidRPr="00AB656A" w:rsidRDefault="001C3BB8" w:rsidP="001C3BB8">
            <w:pPr>
              <w:widowControl/>
              <w:jc w:val="center"/>
              <w:rPr>
                <w:rFonts w:ascii="宋体" w:eastAsia="宋体" w:hAnsi="宋体" w:cs="宋体"/>
                <w:color w:val="000000"/>
                <w:kern w:val="0"/>
                <w:sz w:val="18"/>
                <w:szCs w:val="18"/>
              </w:rPr>
            </w:pPr>
            <w:r w:rsidRPr="00AB656A">
              <w:rPr>
                <w:rFonts w:ascii="宋体" w:eastAsia="宋体" w:hAnsi="宋体" w:cs="宋体" w:hint="eastAsia"/>
                <w:color w:val="000000"/>
                <w:kern w:val="0"/>
                <w:sz w:val="18"/>
                <w:szCs w:val="18"/>
              </w:rPr>
              <w:t>否</w:t>
            </w:r>
          </w:p>
        </w:tc>
      </w:tr>
    </w:tbl>
    <w:p w:rsidR="00AB656A" w:rsidRDefault="00AB656A" w:rsidP="00B12186">
      <w:pPr>
        <w:ind w:firstLine="420"/>
      </w:pPr>
    </w:p>
    <w:p w:rsidR="00CE048E" w:rsidRPr="00C10637" w:rsidRDefault="00D17E7D" w:rsidP="00C10637">
      <w:pPr>
        <w:rPr>
          <w:b/>
          <w:sz w:val="24"/>
          <w:szCs w:val="24"/>
        </w:rPr>
      </w:pPr>
      <w:r w:rsidRPr="00C10637">
        <w:rPr>
          <w:rFonts w:hint="eastAsia"/>
          <w:b/>
          <w:sz w:val="24"/>
          <w:szCs w:val="24"/>
        </w:rPr>
        <w:t>2.2</w:t>
      </w:r>
      <w:r w:rsidRPr="00C10637">
        <w:rPr>
          <w:b/>
          <w:sz w:val="24"/>
          <w:szCs w:val="24"/>
        </w:rPr>
        <w:t xml:space="preserve"> </w:t>
      </w:r>
      <w:r w:rsidRPr="00C10637">
        <w:rPr>
          <w:rFonts w:hint="eastAsia"/>
          <w:b/>
          <w:sz w:val="24"/>
          <w:szCs w:val="24"/>
        </w:rPr>
        <w:t>研究方法</w:t>
      </w:r>
    </w:p>
    <w:p w:rsidR="00326077" w:rsidRDefault="00AB656A" w:rsidP="000F610C">
      <w:pPr>
        <w:spacing w:line="360" w:lineRule="exact"/>
        <w:ind w:firstLine="420"/>
      </w:pPr>
      <w:r>
        <w:rPr>
          <w:rFonts w:hint="eastAsia"/>
        </w:rPr>
        <w:t>本研究实施的过程中，主要采用了文献资料法、专家访谈法及对比分析法。</w:t>
      </w:r>
    </w:p>
    <w:p w:rsidR="00CE048E" w:rsidRDefault="00AB656A" w:rsidP="000F610C">
      <w:pPr>
        <w:spacing w:line="360" w:lineRule="exact"/>
        <w:ind w:firstLine="420"/>
      </w:pPr>
      <w:r>
        <w:rPr>
          <w:rFonts w:hint="eastAsia"/>
        </w:rPr>
        <w:t>（</w:t>
      </w:r>
      <w:r>
        <w:t>1）文献资料法。</w:t>
      </w:r>
      <w:r w:rsidR="00B559FF">
        <w:rPr>
          <w:rFonts w:hint="eastAsia"/>
        </w:rPr>
        <w:t>通过对于智能建造及智能建造专业的相关文献进行检索、搜集、学习、分析，</w:t>
      </w:r>
      <w:r w:rsidR="00CE026D">
        <w:rPr>
          <w:rFonts w:hint="eastAsia"/>
        </w:rPr>
        <w:t>掌握已有研究的基本情况及相关的理论基础，为后续的研究工作</w:t>
      </w:r>
      <w:r w:rsidR="004F3660">
        <w:rPr>
          <w:rFonts w:hint="eastAsia"/>
        </w:rPr>
        <w:t>奠定基础</w:t>
      </w:r>
      <w:r>
        <w:rPr>
          <w:rFonts w:hint="eastAsia"/>
        </w:rPr>
        <w:t>。</w:t>
      </w:r>
      <w:r w:rsidR="001A1A98">
        <w:rPr>
          <w:rFonts w:hint="eastAsia"/>
        </w:rPr>
        <w:t>同时，通过人才招聘网站，收集社会对智能建造人才的</w:t>
      </w:r>
      <w:r w:rsidR="002D4617" w:rsidRPr="002D4617">
        <w:rPr>
          <w:rFonts w:hint="eastAsia"/>
        </w:rPr>
        <w:t>招聘要求</w:t>
      </w:r>
      <w:r w:rsidR="00EA73AB">
        <w:rPr>
          <w:rFonts w:hint="eastAsia"/>
        </w:rPr>
        <w:t>。</w:t>
      </w:r>
      <w:r>
        <w:cr/>
      </w:r>
      <w:r w:rsidR="009B682F">
        <w:t xml:space="preserve">    </w:t>
      </w:r>
      <w:r w:rsidR="005D30FB">
        <w:rPr>
          <w:rFonts w:hint="eastAsia"/>
        </w:rPr>
        <w:t>（2）专家访谈法。通过走访业内的专家、学者，掌握社会对智能建造人才的</w:t>
      </w:r>
      <w:r w:rsidR="00757442">
        <w:rPr>
          <w:rFonts w:hint="eastAsia"/>
        </w:rPr>
        <w:t>需求情况。</w:t>
      </w:r>
      <w:r w:rsidR="001063D2">
        <w:rPr>
          <w:rFonts w:hint="eastAsia"/>
        </w:rPr>
        <w:t>通过与相关院校的专业负责人、专业教师进行沟通，了解各个学校智能建造专业人才培养方案的编制</w:t>
      </w:r>
      <w:r w:rsidR="00491152">
        <w:rPr>
          <w:rFonts w:hint="eastAsia"/>
        </w:rPr>
        <w:t>、</w:t>
      </w:r>
      <w:r w:rsidR="001063D2">
        <w:rPr>
          <w:rFonts w:hint="eastAsia"/>
        </w:rPr>
        <w:t>执行</w:t>
      </w:r>
      <w:r w:rsidR="00652FEF">
        <w:rPr>
          <w:rFonts w:hint="eastAsia"/>
        </w:rPr>
        <w:t>及相关课程的</w:t>
      </w:r>
      <w:r w:rsidR="00157BDF">
        <w:rPr>
          <w:rFonts w:hint="eastAsia"/>
        </w:rPr>
        <w:t>情况</w:t>
      </w:r>
      <w:r w:rsidR="00491152">
        <w:rPr>
          <w:rFonts w:hint="eastAsia"/>
        </w:rPr>
        <w:t>。</w:t>
      </w:r>
    </w:p>
    <w:p w:rsidR="00A11EAE" w:rsidRDefault="00A11EAE" w:rsidP="000F610C">
      <w:pPr>
        <w:spacing w:line="360" w:lineRule="exact"/>
        <w:ind w:firstLine="420"/>
      </w:pPr>
      <w:r>
        <w:rPr>
          <w:rFonts w:hint="eastAsia"/>
        </w:rPr>
        <w:t>（3）对比分析法。</w:t>
      </w:r>
      <w:r w:rsidR="00F442B5">
        <w:rPr>
          <w:rFonts w:hint="eastAsia"/>
        </w:rPr>
        <w:t>通过对所收集的资料的综合对比分析，</w:t>
      </w:r>
      <w:r w:rsidR="00535A24">
        <w:rPr>
          <w:rFonts w:hint="eastAsia"/>
        </w:rPr>
        <w:t>特别是对目标院校智能建造专业人才培养方案的横向对比分析，</w:t>
      </w:r>
      <w:r w:rsidR="007C4354" w:rsidRPr="007C4354">
        <w:rPr>
          <w:rFonts w:hint="eastAsia"/>
        </w:rPr>
        <w:t>找出</w:t>
      </w:r>
      <w:r w:rsidR="007C4354">
        <w:rPr>
          <w:rFonts w:hint="eastAsia"/>
        </w:rPr>
        <w:t>其间存在的</w:t>
      </w:r>
      <w:r w:rsidR="007C4354" w:rsidRPr="007C4354">
        <w:rPr>
          <w:rFonts w:hint="eastAsia"/>
        </w:rPr>
        <w:t>共性、差异和趋势</w:t>
      </w:r>
      <w:r w:rsidR="007C4354">
        <w:rPr>
          <w:rFonts w:hint="eastAsia"/>
        </w:rPr>
        <w:t>，为后续的分析</w:t>
      </w:r>
      <w:r w:rsidR="0066322F">
        <w:rPr>
          <w:rFonts w:hint="eastAsia"/>
        </w:rPr>
        <w:t>结论的</w:t>
      </w:r>
      <w:r w:rsidR="00D2154E">
        <w:rPr>
          <w:rFonts w:hint="eastAsia"/>
        </w:rPr>
        <w:t>形成</w:t>
      </w:r>
      <w:r w:rsidR="007C4354">
        <w:rPr>
          <w:rFonts w:hint="eastAsia"/>
        </w:rPr>
        <w:t>奠定基础。</w:t>
      </w:r>
    </w:p>
    <w:p w:rsidR="00CE048E" w:rsidRPr="00AE6C8D" w:rsidRDefault="008112ED" w:rsidP="00AE6C8D">
      <w:pPr>
        <w:rPr>
          <w:rFonts w:ascii="黑体" w:eastAsia="黑体" w:hAnsi="黑体"/>
          <w:sz w:val="28"/>
          <w:szCs w:val="28"/>
        </w:rPr>
      </w:pPr>
      <w:r w:rsidRPr="00AE6C8D">
        <w:rPr>
          <w:rFonts w:ascii="黑体" w:eastAsia="黑体" w:hAnsi="黑体" w:hint="eastAsia"/>
          <w:sz w:val="28"/>
          <w:szCs w:val="28"/>
        </w:rPr>
        <w:t>3、培养方案和课程体系分析</w:t>
      </w:r>
    </w:p>
    <w:p w:rsidR="00362FB1" w:rsidRPr="00C10637" w:rsidRDefault="00362FB1" w:rsidP="001E4F82">
      <w:pPr>
        <w:rPr>
          <w:b/>
          <w:sz w:val="24"/>
          <w:szCs w:val="24"/>
        </w:rPr>
      </w:pPr>
      <w:r w:rsidRPr="00C10637">
        <w:rPr>
          <w:rFonts w:hint="eastAsia"/>
          <w:b/>
          <w:sz w:val="24"/>
          <w:szCs w:val="24"/>
        </w:rPr>
        <w:t>3.</w:t>
      </w:r>
      <w:r w:rsidR="00107733" w:rsidRPr="00C10637">
        <w:rPr>
          <w:rFonts w:hint="eastAsia"/>
          <w:b/>
          <w:sz w:val="24"/>
          <w:szCs w:val="24"/>
        </w:rPr>
        <w:t>1</w:t>
      </w:r>
      <w:r w:rsidRPr="00C10637">
        <w:rPr>
          <w:b/>
          <w:sz w:val="24"/>
          <w:szCs w:val="24"/>
        </w:rPr>
        <w:t xml:space="preserve"> </w:t>
      </w:r>
      <w:r w:rsidRPr="00C10637">
        <w:rPr>
          <w:rFonts w:hint="eastAsia"/>
          <w:b/>
          <w:sz w:val="24"/>
          <w:szCs w:val="24"/>
        </w:rPr>
        <w:t>人才培养目标</w:t>
      </w:r>
    </w:p>
    <w:p w:rsidR="002C664B" w:rsidRDefault="0098790D" w:rsidP="000F610C">
      <w:pPr>
        <w:spacing w:line="360" w:lineRule="exact"/>
        <w:ind w:firstLine="420"/>
      </w:pPr>
      <w:r>
        <w:rPr>
          <w:rFonts w:hint="eastAsia"/>
        </w:rPr>
        <w:lastRenderedPageBreak/>
        <w:t>人才培养目标是有关人才培养活动的目标，是学校通过对自身发展情况的认知以及对外界环境变化的了解，确定了内在能力水平与外在社会需求，在理性分析与思考的基础上，结合自己的使命</w:t>
      </w:r>
      <w:r w:rsidR="00104B0E">
        <w:rPr>
          <w:rFonts w:hint="eastAsia"/>
        </w:rPr>
        <w:t>与愿景，而设计出的一种有关学生成长的合理性且理想化的未来图景</w:t>
      </w:r>
      <w:r w:rsidR="005E4BEE" w:rsidRPr="005E4BEE">
        <w:rPr>
          <w:rFonts w:hint="eastAsia"/>
          <w:vertAlign w:val="superscript"/>
        </w:rPr>
        <w:t>[</w:t>
      </w:r>
      <w:r w:rsidR="005E4BEE" w:rsidRPr="005E4BEE">
        <w:rPr>
          <w:vertAlign w:val="superscript"/>
        </w:rPr>
        <w:t>6]</w:t>
      </w:r>
      <w:r w:rsidR="00104B0E">
        <w:rPr>
          <w:rFonts w:hint="eastAsia"/>
        </w:rPr>
        <w:t>。</w:t>
      </w:r>
      <w:r w:rsidR="00B75C04">
        <w:rPr>
          <w:rFonts w:hint="eastAsia"/>
        </w:rPr>
        <w:t>通过对比分析可以发现，</w:t>
      </w:r>
      <w:r w:rsidR="00C009A7">
        <w:rPr>
          <w:rFonts w:hint="eastAsia"/>
        </w:rPr>
        <w:t>研究对象的人才培养目标存在一定的差异。</w:t>
      </w:r>
      <w:r w:rsidR="006C47FC">
        <w:rPr>
          <w:rFonts w:hint="eastAsia"/>
        </w:rPr>
        <w:t>其中，五所学校提出培养领军人才</w:t>
      </w:r>
      <w:r w:rsidR="00494007">
        <w:rPr>
          <w:rFonts w:hint="eastAsia"/>
        </w:rPr>
        <w:t>（编号01、02、03、04、07）</w:t>
      </w:r>
      <w:r w:rsidR="00C3501E">
        <w:rPr>
          <w:rFonts w:hint="eastAsia"/>
        </w:rPr>
        <w:t>；五所学校提出培养复合型人才</w:t>
      </w:r>
      <w:r w:rsidR="00F620DB">
        <w:rPr>
          <w:rFonts w:hint="eastAsia"/>
        </w:rPr>
        <w:t>（编号05、08、09、12、16）</w:t>
      </w:r>
      <w:r w:rsidR="00C3501E">
        <w:rPr>
          <w:rFonts w:hint="eastAsia"/>
        </w:rPr>
        <w:t>；</w:t>
      </w:r>
      <w:r w:rsidR="002B7534">
        <w:rPr>
          <w:rFonts w:hint="eastAsia"/>
        </w:rPr>
        <w:t>七所学校定位为培养应用型人才</w:t>
      </w:r>
      <w:r w:rsidR="00405406">
        <w:rPr>
          <w:rFonts w:hint="eastAsia"/>
        </w:rPr>
        <w:t>（编号10、11、14、15、17、19、20）</w:t>
      </w:r>
      <w:r w:rsidR="002B7534">
        <w:rPr>
          <w:rFonts w:hint="eastAsia"/>
        </w:rPr>
        <w:t>；</w:t>
      </w:r>
      <w:r w:rsidR="00D03E5D">
        <w:rPr>
          <w:rFonts w:hint="eastAsia"/>
        </w:rPr>
        <w:t>另外三所学校分别定位为培养工程师人才</w:t>
      </w:r>
      <w:r w:rsidR="00FE392E">
        <w:rPr>
          <w:rFonts w:hint="eastAsia"/>
        </w:rPr>
        <w:t>（编号06）</w:t>
      </w:r>
      <w:r w:rsidR="00D03E5D">
        <w:rPr>
          <w:rFonts w:hint="eastAsia"/>
        </w:rPr>
        <w:t>、智能建造工程师</w:t>
      </w:r>
      <w:r w:rsidR="00FE392E">
        <w:rPr>
          <w:rFonts w:hint="eastAsia"/>
        </w:rPr>
        <w:t>（编号13）</w:t>
      </w:r>
      <w:r w:rsidR="00882FBD">
        <w:rPr>
          <w:rFonts w:hint="eastAsia"/>
        </w:rPr>
        <w:t>和技能型人才</w:t>
      </w:r>
      <w:r w:rsidR="00FE392E">
        <w:rPr>
          <w:rFonts w:hint="eastAsia"/>
        </w:rPr>
        <w:t>（编号18）</w:t>
      </w:r>
      <w:r w:rsidR="00882FBD">
        <w:rPr>
          <w:rFonts w:hint="eastAsia"/>
        </w:rPr>
        <w:t>。</w:t>
      </w:r>
      <w:r w:rsidR="00913248">
        <w:rPr>
          <w:rFonts w:hint="eastAsia"/>
        </w:rPr>
        <w:t>通过对比各个学校的定位层次</w:t>
      </w:r>
      <w:r w:rsidR="00FA3911">
        <w:rPr>
          <w:rFonts w:hint="eastAsia"/>
        </w:rPr>
        <w:t>，可以发现相关的人才培养目标基本符合相关学校的定位。</w:t>
      </w:r>
    </w:p>
    <w:p w:rsidR="002C664B" w:rsidRPr="00A10497" w:rsidRDefault="00683E9C" w:rsidP="000F610C">
      <w:pPr>
        <w:spacing w:line="360" w:lineRule="exact"/>
        <w:ind w:firstLine="420"/>
      </w:pPr>
      <w:r>
        <w:rPr>
          <w:rFonts w:hint="eastAsia"/>
        </w:rPr>
        <w:t>从培养人才类型的角度来看，</w:t>
      </w:r>
      <w:r w:rsidR="00C03630">
        <w:rPr>
          <w:rFonts w:hint="eastAsia"/>
        </w:rPr>
        <w:t>1</w:t>
      </w:r>
      <w:r w:rsidR="00C5539A">
        <w:rPr>
          <w:rFonts w:hint="eastAsia"/>
        </w:rPr>
        <w:t>3</w:t>
      </w:r>
      <w:r w:rsidR="00C03630">
        <w:rPr>
          <w:rFonts w:hint="eastAsia"/>
        </w:rPr>
        <w:t>所学校（编号</w:t>
      </w:r>
      <w:r w:rsidR="00BE423C">
        <w:rPr>
          <w:rFonts w:hint="eastAsia"/>
        </w:rPr>
        <w:t>01、03、</w:t>
      </w:r>
      <w:r w:rsidR="00C5539A">
        <w:rPr>
          <w:rFonts w:hint="eastAsia"/>
        </w:rPr>
        <w:t>05、</w:t>
      </w:r>
      <w:r w:rsidR="00BE423C">
        <w:rPr>
          <w:rFonts w:hint="eastAsia"/>
        </w:rPr>
        <w:t>06、08、10、12、13、14、16、17、</w:t>
      </w:r>
      <w:r w:rsidR="005140E5">
        <w:rPr>
          <w:rFonts w:hint="eastAsia"/>
        </w:rPr>
        <w:t>19、</w:t>
      </w:r>
      <w:r w:rsidR="00BE423C">
        <w:rPr>
          <w:rFonts w:hint="eastAsia"/>
        </w:rPr>
        <w:t>20</w:t>
      </w:r>
      <w:r w:rsidR="00C03630">
        <w:rPr>
          <w:rFonts w:hint="eastAsia"/>
        </w:rPr>
        <w:t>）的</w:t>
      </w:r>
      <w:r w:rsidR="004B3A3B">
        <w:rPr>
          <w:rFonts w:hint="eastAsia"/>
        </w:rPr>
        <w:t>较为相似，</w:t>
      </w:r>
      <w:r w:rsidR="00683848">
        <w:rPr>
          <w:rFonts w:hint="eastAsia"/>
        </w:rPr>
        <w:t>均为</w:t>
      </w:r>
      <w:r w:rsidR="00681D6E">
        <w:rPr>
          <w:rFonts w:hint="eastAsia"/>
        </w:rPr>
        <w:t>“</w:t>
      </w:r>
      <w:r w:rsidR="00681D6E" w:rsidRPr="00681D6E">
        <w:rPr>
          <w:rFonts w:hint="eastAsia"/>
        </w:rPr>
        <w:t>胜任一般土木工程项目的智能设计、智能施工、智能</w:t>
      </w:r>
      <w:r w:rsidR="00681D6E">
        <w:rPr>
          <w:rFonts w:hint="eastAsia"/>
        </w:rPr>
        <w:t>运维、智能</w:t>
      </w:r>
      <w:r w:rsidR="00681D6E" w:rsidRPr="00681D6E">
        <w:rPr>
          <w:rFonts w:hint="eastAsia"/>
        </w:rPr>
        <w:t>管理等工作</w:t>
      </w:r>
      <w:r w:rsidR="00681D6E">
        <w:rPr>
          <w:rFonts w:hint="eastAsia"/>
        </w:rPr>
        <w:t>”</w:t>
      </w:r>
      <w:r w:rsidR="003F4C43">
        <w:rPr>
          <w:rFonts w:hint="eastAsia"/>
        </w:rPr>
        <w:t>，</w:t>
      </w:r>
      <w:r w:rsidR="00DC4D1C">
        <w:rPr>
          <w:rFonts w:hint="eastAsia"/>
        </w:rPr>
        <w:t>部分</w:t>
      </w:r>
      <w:r w:rsidR="009F6858">
        <w:rPr>
          <w:rFonts w:hint="eastAsia"/>
        </w:rPr>
        <w:t>学校还添加了</w:t>
      </w:r>
      <w:r w:rsidR="00895FF3">
        <w:rPr>
          <w:rFonts w:hint="eastAsia"/>
        </w:rPr>
        <w:t>智能化产品生产和智能防灾等内容。</w:t>
      </w:r>
      <w:r w:rsidR="000C1716">
        <w:rPr>
          <w:rFonts w:hint="eastAsia"/>
        </w:rPr>
        <w:t>其他学校的内容则存在较大的差异，</w:t>
      </w:r>
      <w:r w:rsidR="00FF589C">
        <w:rPr>
          <w:rFonts w:hint="eastAsia"/>
        </w:rPr>
        <w:t>其中5所学校包括</w:t>
      </w:r>
      <w:r w:rsidR="007E6F0C">
        <w:rPr>
          <w:rFonts w:hint="eastAsia"/>
        </w:rPr>
        <w:t>如</w:t>
      </w:r>
      <w:r w:rsidR="004F56A7">
        <w:rPr>
          <w:rFonts w:hint="eastAsia"/>
        </w:rPr>
        <w:t>“</w:t>
      </w:r>
      <w:r w:rsidR="004F56A7" w:rsidRPr="004F56A7">
        <w:rPr>
          <w:rFonts w:hint="eastAsia"/>
        </w:rPr>
        <w:t>胜任城市轨道交通土建工程领域内的智能建造相关工作</w:t>
      </w:r>
      <w:r w:rsidR="004F56A7">
        <w:rPr>
          <w:rFonts w:hint="eastAsia"/>
        </w:rPr>
        <w:t>”</w:t>
      </w:r>
      <w:r w:rsidR="00B27C08">
        <w:rPr>
          <w:rFonts w:hint="eastAsia"/>
        </w:rPr>
        <w:t>、“</w:t>
      </w:r>
      <w:r w:rsidR="000E4B80" w:rsidRPr="000E4B80">
        <w:rPr>
          <w:rFonts w:hint="eastAsia"/>
        </w:rPr>
        <w:t>从事工程数字化建模与仿真、智能建造、装配式施工、</w:t>
      </w:r>
      <w:r w:rsidR="000E4B80" w:rsidRPr="000E4B80">
        <w:t>5D 项目管理等工作</w:t>
      </w:r>
      <w:r w:rsidR="00B27C08">
        <w:rPr>
          <w:rFonts w:hint="eastAsia"/>
        </w:rPr>
        <w:t>”</w:t>
      </w:r>
      <w:r w:rsidR="000E4B80">
        <w:rPr>
          <w:rFonts w:hint="eastAsia"/>
        </w:rPr>
        <w:t>等。</w:t>
      </w:r>
      <w:r w:rsidR="00AD6EA1">
        <w:rPr>
          <w:rFonts w:hint="eastAsia"/>
        </w:rPr>
        <w:t>还有两所学校没有</w:t>
      </w:r>
      <w:r w:rsidR="00AE0E2E">
        <w:rPr>
          <w:rFonts w:hint="eastAsia"/>
        </w:rPr>
        <w:t>在培养目标中明确培养人才的类型。</w:t>
      </w:r>
    </w:p>
    <w:p w:rsidR="00362FB1" w:rsidRPr="00C10637" w:rsidRDefault="00362FB1" w:rsidP="001E4F82">
      <w:pPr>
        <w:rPr>
          <w:b/>
          <w:sz w:val="24"/>
          <w:szCs w:val="24"/>
        </w:rPr>
      </w:pPr>
      <w:r w:rsidRPr="00C10637">
        <w:rPr>
          <w:rFonts w:hint="eastAsia"/>
          <w:b/>
          <w:sz w:val="24"/>
          <w:szCs w:val="24"/>
        </w:rPr>
        <w:t>3.</w:t>
      </w:r>
      <w:r w:rsidR="00AA0399" w:rsidRPr="00C10637">
        <w:rPr>
          <w:rFonts w:hint="eastAsia"/>
          <w:b/>
          <w:sz w:val="24"/>
          <w:szCs w:val="24"/>
        </w:rPr>
        <w:t>2</w:t>
      </w:r>
      <w:r w:rsidRPr="00C10637">
        <w:rPr>
          <w:b/>
          <w:sz w:val="24"/>
          <w:szCs w:val="24"/>
        </w:rPr>
        <w:t xml:space="preserve"> </w:t>
      </w:r>
      <w:r w:rsidRPr="00C10637">
        <w:rPr>
          <w:rFonts w:hint="eastAsia"/>
          <w:b/>
          <w:sz w:val="24"/>
          <w:szCs w:val="24"/>
        </w:rPr>
        <w:t>毕业总学分与修业年限要求</w:t>
      </w:r>
    </w:p>
    <w:p w:rsidR="002C664B" w:rsidRDefault="00D84815" w:rsidP="000F610C">
      <w:pPr>
        <w:spacing w:line="360" w:lineRule="exact"/>
        <w:ind w:firstLine="420"/>
      </w:pPr>
      <w:r>
        <w:rPr>
          <w:rFonts w:hint="eastAsia"/>
        </w:rPr>
        <w:t>研究对象</w:t>
      </w:r>
      <w:r w:rsidR="00C11DD8">
        <w:rPr>
          <w:rFonts w:hint="eastAsia"/>
        </w:rPr>
        <w:t>各校</w:t>
      </w:r>
      <w:r>
        <w:rPr>
          <w:rFonts w:hint="eastAsia"/>
        </w:rPr>
        <w:t>修业年限规定较为一致，均为4年，学习年限基本在4-6年。</w:t>
      </w:r>
      <w:r w:rsidR="00015029">
        <w:rPr>
          <w:rFonts w:hint="eastAsia"/>
        </w:rPr>
        <w:t>学分的要求差别较大，如图</w:t>
      </w:r>
      <w:r w:rsidR="00BC1661">
        <w:rPr>
          <w:rFonts w:hint="eastAsia"/>
        </w:rPr>
        <w:t>1</w:t>
      </w:r>
      <w:r w:rsidR="00015029">
        <w:rPr>
          <w:rFonts w:hint="eastAsia"/>
        </w:rPr>
        <w:t>所示。其中，学分要求最少的为158</w:t>
      </w:r>
      <w:r w:rsidR="00015029">
        <w:t>.8</w:t>
      </w:r>
      <w:r w:rsidR="00015029">
        <w:rPr>
          <w:rFonts w:hint="eastAsia"/>
        </w:rPr>
        <w:t>（编号03），学分要求最高的为208（编号18）</w:t>
      </w:r>
      <w:r w:rsidR="00133B86">
        <w:rPr>
          <w:rFonts w:hint="eastAsia"/>
        </w:rPr>
        <w:t>。对比两校的</w:t>
      </w:r>
      <w:r w:rsidR="00170D39">
        <w:rPr>
          <w:rFonts w:hint="eastAsia"/>
        </w:rPr>
        <w:t>教学计划，可以发现差别主要体现在实践性教学环节部分，</w:t>
      </w:r>
      <w:r w:rsidR="00526D4A">
        <w:rPr>
          <w:rFonts w:hint="eastAsia"/>
        </w:rPr>
        <w:t>编号</w:t>
      </w:r>
      <w:r w:rsidR="009C746A">
        <w:rPr>
          <w:rFonts w:hint="eastAsia"/>
        </w:rPr>
        <w:t>02学校的实践性环节为32学分，而</w:t>
      </w:r>
      <w:r w:rsidR="00526D4A">
        <w:rPr>
          <w:rFonts w:hint="eastAsia"/>
        </w:rPr>
        <w:t>编号</w:t>
      </w:r>
      <w:r w:rsidR="009C746A">
        <w:rPr>
          <w:rFonts w:hint="eastAsia"/>
        </w:rPr>
        <w:t>18学校的实践性环节为62学分</w:t>
      </w:r>
      <w:r w:rsidR="003A0910">
        <w:rPr>
          <w:rFonts w:hint="eastAsia"/>
        </w:rPr>
        <w:t>，存在着比较大的差别。</w:t>
      </w:r>
    </w:p>
    <w:p w:rsidR="00B65474" w:rsidRPr="00362FB1" w:rsidRDefault="00B65474" w:rsidP="00B12186">
      <w:pPr>
        <w:ind w:firstLine="420"/>
      </w:pPr>
    </w:p>
    <w:p w:rsidR="00DB30DB" w:rsidRDefault="008112ED" w:rsidP="003A0CED">
      <w:pPr>
        <w:jc w:val="center"/>
      </w:pPr>
      <w:r>
        <w:rPr>
          <w:noProof/>
        </w:rPr>
        <w:drawing>
          <wp:inline distT="0" distB="0" distL="0" distR="0" wp14:anchorId="34E11AE7" wp14:editId="3AD1D53A">
            <wp:extent cx="3523785" cy="1813931"/>
            <wp:effectExtent l="0" t="0" r="635" b="0"/>
            <wp:docPr id="1" name="图表 1">
              <a:extLst xmlns:a="http://schemas.openxmlformats.org/drawingml/2006/main">
                <a:ext uri="{FF2B5EF4-FFF2-40B4-BE49-F238E27FC236}">
                  <a16:creationId xmlns:a16="http://schemas.microsoft.com/office/drawing/2014/main" id="{3F1C5C72-C631-4451-B662-02073B63FC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940FA" w:rsidRPr="00BC1661" w:rsidRDefault="00C940FA" w:rsidP="003A0CED">
      <w:pPr>
        <w:jc w:val="center"/>
        <w:rPr>
          <w:rFonts w:ascii="黑体" w:eastAsia="黑体" w:hAnsi="黑体"/>
        </w:rPr>
      </w:pPr>
      <w:r w:rsidRPr="00BC1661">
        <w:rPr>
          <w:rFonts w:ascii="黑体" w:eastAsia="黑体" w:hAnsi="黑体" w:hint="eastAsia"/>
        </w:rPr>
        <w:t>图1</w:t>
      </w:r>
      <w:r w:rsidRPr="00BC1661">
        <w:rPr>
          <w:rFonts w:ascii="黑体" w:eastAsia="黑体" w:hAnsi="黑体"/>
        </w:rPr>
        <w:t xml:space="preserve">  </w:t>
      </w:r>
      <w:r w:rsidRPr="00BC1661">
        <w:rPr>
          <w:rFonts w:ascii="黑体" w:eastAsia="黑体" w:hAnsi="黑体" w:hint="eastAsia"/>
        </w:rPr>
        <w:t>各校总学分情况表</w:t>
      </w:r>
    </w:p>
    <w:p w:rsidR="00B448F1" w:rsidRPr="00C10637" w:rsidRDefault="005647E9">
      <w:pPr>
        <w:rPr>
          <w:b/>
          <w:sz w:val="24"/>
          <w:szCs w:val="24"/>
        </w:rPr>
      </w:pPr>
      <w:r w:rsidRPr="00C10637">
        <w:rPr>
          <w:rFonts w:hint="eastAsia"/>
          <w:b/>
          <w:sz w:val="24"/>
          <w:szCs w:val="24"/>
        </w:rPr>
        <w:t>3.</w:t>
      </w:r>
      <w:r w:rsidR="00AA0399" w:rsidRPr="00C10637">
        <w:rPr>
          <w:rFonts w:hint="eastAsia"/>
          <w:b/>
          <w:sz w:val="24"/>
          <w:szCs w:val="24"/>
        </w:rPr>
        <w:t>3</w:t>
      </w:r>
      <w:r w:rsidRPr="00C10637">
        <w:rPr>
          <w:b/>
          <w:sz w:val="24"/>
          <w:szCs w:val="24"/>
        </w:rPr>
        <w:t xml:space="preserve"> </w:t>
      </w:r>
      <w:r w:rsidRPr="00C10637">
        <w:rPr>
          <w:rFonts w:hint="eastAsia"/>
          <w:b/>
          <w:sz w:val="24"/>
          <w:szCs w:val="24"/>
        </w:rPr>
        <w:t>主干学科对比分析</w:t>
      </w:r>
    </w:p>
    <w:p w:rsidR="00B448F1" w:rsidRDefault="0015663E" w:rsidP="000F610C">
      <w:pPr>
        <w:spacing w:line="360" w:lineRule="exact"/>
        <w:ind w:firstLine="420"/>
      </w:pPr>
      <w:r>
        <w:rPr>
          <w:rFonts w:hint="eastAsia"/>
        </w:rPr>
        <w:t>主干学科</w:t>
      </w:r>
      <w:r w:rsidR="00B03E62">
        <w:rPr>
          <w:rFonts w:hint="eastAsia"/>
        </w:rPr>
        <w:t>是</w:t>
      </w:r>
      <w:r w:rsidRPr="0015663E">
        <w:rPr>
          <w:rFonts w:hint="eastAsia"/>
        </w:rPr>
        <w:t>由培养目标所决定</w:t>
      </w:r>
      <w:r w:rsidR="00B804AA">
        <w:rPr>
          <w:rFonts w:hint="eastAsia"/>
        </w:rPr>
        <w:t>，</w:t>
      </w:r>
      <w:r w:rsidRPr="0015663E">
        <w:t>是某一专业学生获得能力结构所必须具备的专业理论与技能体系</w:t>
      </w:r>
      <w:r w:rsidR="00BB4949">
        <w:rPr>
          <w:rFonts w:hint="eastAsia"/>
        </w:rPr>
        <w:t>。</w:t>
      </w:r>
      <w:r w:rsidRPr="0015663E">
        <w:t>高等院校在安排某一专业的课程体系时</w:t>
      </w:r>
      <w:r w:rsidR="00EC1893">
        <w:rPr>
          <w:rFonts w:hint="eastAsia"/>
        </w:rPr>
        <w:t>，</w:t>
      </w:r>
      <w:r w:rsidRPr="0015663E">
        <w:t>必须明确本专业的主干学科</w:t>
      </w:r>
      <w:r w:rsidR="005166B8">
        <w:rPr>
          <w:rFonts w:hint="eastAsia"/>
        </w:rPr>
        <w:t>，</w:t>
      </w:r>
      <w:r w:rsidRPr="0015663E">
        <w:rPr>
          <w:rFonts w:hint="eastAsia"/>
        </w:rPr>
        <w:t>以利于合理安排课程内容和配置充足优质的师资力量</w:t>
      </w:r>
      <w:r w:rsidR="002B5112">
        <w:rPr>
          <w:rFonts w:hint="eastAsia"/>
        </w:rPr>
        <w:t>，</w:t>
      </w:r>
      <w:r w:rsidRPr="0015663E">
        <w:t>以提高教学效率。</w:t>
      </w:r>
    </w:p>
    <w:p w:rsidR="00B448F1" w:rsidRDefault="005C518D" w:rsidP="000F610C">
      <w:pPr>
        <w:spacing w:line="360" w:lineRule="exact"/>
        <w:ind w:firstLine="420"/>
      </w:pPr>
      <w:r>
        <w:rPr>
          <w:rFonts w:hint="eastAsia"/>
        </w:rPr>
        <w:t>综合分析对象的高校情况，有10所学校列出了主干学科，基本情况如表</w:t>
      </w:r>
      <w:r w:rsidR="001E4F82">
        <w:rPr>
          <w:rFonts w:hint="eastAsia"/>
        </w:rPr>
        <w:t>2</w:t>
      </w:r>
      <w:r>
        <w:rPr>
          <w:rFonts w:hint="eastAsia"/>
        </w:rPr>
        <w:t>所示。</w:t>
      </w:r>
    </w:p>
    <w:p w:rsidR="00BC1661" w:rsidRDefault="00BC1661" w:rsidP="000F610C">
      <w:pPr>
        <w:spacing w:line="360" w:lineRule="exact"/>
        <w:ind w:firstLine="420"/>
      </w:pPr>
    </w:p>
    <w:p w:rsidR="00C3263B" w:rsidRDefault="00C3263B" w:rsidP="000F610C">
      <w:pPr>
        <w:spacing w:line="360" w:lineRule="exact"/>
        <w:ind w:firstLine="420"/>
      </w:pPr>
    </w:p>
    <w:p w:rsidR="00B448F1" w:rsidRDefault="001E4F82" w:rsidP="00BC1661">
      <w:pPr>
        <w:ind w:firstLineChars="300" w:firstLine="630"/>
        <w:jc w:val="left"/>
      </w:pPr>
      <w:r w:rsidRPr="00BC1661">
        <w:rPr>
          <w:rFonts w:ascii="黑体" w:eastAsia="黑体" w:hAnsi="黑体" w:hint="eastAsia"/>
        </w:rPr>
        <w:t>表2</w:t>
      </w:r>
      <w:r w:rsidRPr="00BC1661">
        <w:rPr>
          <w:rFonts w:ascii="黑体" w:eastAsia="黑体" w:hAnsi="黑体"/>
        </w:rPr>
        <w:t xml:space="preserve">               </w:t>
      </w:r>
      <w:r w:rsidR="0050463C" w:rsidRPr="00BC1661">
        <w:rPr>
          <w:rFonts w:ascii="黑体" w:eastAsia="黑体" w:hAnsi="黑体"/>
        </w:rPr>
        <w:t xml:space="preserve">         </w:t>
      </w:r>
      <w:r w:rsidRPr="00BC1661">
        <w:rPr>
          <w:rFonts w:ascii="黑体" w:eastAsia="黑体" w:hAnsi="黑体"/>
        </w:rPr>
        <w:t xml:space="preserve">  </w:t>
      </w:r>
      <w:r w:rsidRPr="00BC1661">
        <w:rPr>
          <w:rFonts w:ascii="黑体" w:eastAsia="黑体" w:hAnsi="黑体" w:hint="eastAsia"/>
        </w:rPr>
        <w:t>主干学科情况表</w:t>
      </w:r>
    </w:p>
    <w:tbl>
      <w:tblPr>
        <w:tblStyle w:val="aa"/>
        <w:tblW w:w="7933" w:type="dxa"/>
        <w:jc w:val="center"/>
        <w:tblLook w:val="04A0" w:firstRow="1" w:lastRow="0" w:firstColumn="1" w:lastColumn="0" w:noHBand="0" w:noVBand="1"/>
      </w:tblPr>
      <w:tblGrid>
        <w:gridCol w:w="988"/>
        <w:gridCol w:w="6945"/>
      </w:tblGrid>
      <w:tr w:rsidR="005C518D" w:rsidRPr="005C518D" w:rsidTr="000606FF">
        <w:trPr>
          <w:trHeight w:val="276"/>
          <w:jc w:val="center"/>
        </w:trPr>
        <w:tc>
          <w:tcPr>
            <w:tcW w:w="988" w:type="dxa"/>
            <w:noWrap/>
            <w:hideMark/>
          </w:tcPr>
          <w:p w:rsidR="005C518D" w:rsidRPr="005C518D" w:rsidRDefault="005C518D" w:rsidP="005C518D">
            <w:pPr>
              <w:widowControl/>
              <w:jc w:val="left"/>
              <w:rPr>
                <w:rFonts w:ascii="宋体" w:eastAsia="宋体" w:hAnsi="宋体" w:cs="宋体"/>
                <w:color w:val="000000"/>
                <w:kern w:val="0"/>
                <w:sz w:val="18"/>
                <w:szCs w:val="18"/>
              </w:rPr>
            </w:pPr>
            <w:r w:rsidRPr="005C518D">
              <w:rPr>
                <w:rFonts w:ascii="宋体" w:eastAsia="宋体" w:hAnsi="宋体" w:cs="宋体" w:hint="eastAsia"/>
                <w:color w:val="000000"/>
                <w:kern w:val="0"/>
                <w:sz w:val="18"/>
                <w:szCs w:val="18"/>
              </w:rPr>
              <w:t>学校</w:t>
            </w:r>
            <w:r w:rsidR="0069287E">
              <w:rPr>
                <w:rFonts w:ascii="宋体" w:eastAsia="宋体" w:hAnsi="宋体" w:cs="宋体" w:hint="eastAsia"/>
                <w:color w:val="000000"/>
                <w:kern w:val="0"/>
                <w:sz w:val="18"/>
                <w:szCs w:val="18"/>
              </w:rPr>
              <w:t>编号</w:t>
            </w:r>
          </w:p>
        </w:tc>
        <w:tc>
          <w:tcPr>
            <w:tcW w:w="6945" w:type="dxa"/>
            <w:noWrap/>
            <w:hideMark/>
          </w:tcPr>
          <w:p w:rsidR="005C518D" w:rsidRPr="005C518D" w:rsidRDefault="000606FF" w:rsidP="00BB494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人才培养方案列明的</w:t>
            </w:r>
            <w:r w:rsidR="005C518D" w:rsidRPr="005C518D">
              <w:rPr>
                <w:rFonts w:ascii="宋体" w:eastAsia="宋体" w:hAnsi="宋体" w:cs="宋体" w:hint="eastAsia"/>
                <w:color w:val="000000"/>
                <w:kern w:val="0"/>
                <w:sz w:val="18"/>
                <w:szCs w:val="18"/>
              </w:rPr>
              <w:t>主干学科</w:t>
            </w:r>
          </w:p>
        </w:tc>
      </w:tr>
      <w:tr w:rsidR="005C518D" w:rsidRPr="005C518D" w:rsidTr="000606FF">
        <w:trPr>
          <w:trHeight w:val="276"/>
          <w:jc w:val="center"/>
        </w:trPr>
        <w:tc>
          <w:tcPr>
            <w:tcW w:w="988" w:type="dxa"/>
            <w:noWrap/>
            <w:hideMark/>
          </w:tcPr>
          <w:p w:rsidR="005C518D" w:rsidRPr="005C518D" w:rsidRDefault="005C518D" w:rsidP="00717059">
            <w:pPr>
              <w:widowControl/>
              <w:jc w:val="center"/>
              <w:rPr>
                <w:rFonts w:ascii="宋体" w:eastAsia="宋体" w:hAnsi="宋体" w:cs="宋体"/>
                <w:color w:val="000000"/>
                <w:kern w:val="0"/>
                <w:sz w:val="18"/>
                <w:szCs w:val="18"/>
              </w:rPr>
            </w:pPr>
            <w:r w:rsidRPr="005C518D">
              <w:rPr>
                <w:rFonts w:ascii="宋体" w:eastAsia="宋体" w:hAnsi="宋体" w:cs="宋体" w:hint="eastAsia"/>
                <w:color w:val="000000"/>
                <w:kern w:val="0"/>
                <w:sz w:val="18"/>
                <w:szCs w:val="18"/>
              </w:rPr>
              <w:t>01</w:t>
            </w:r>
          </w:p>
        </w:tc>
        <w:tc>
          <w:tcPr>
            <w:tcW w:w="6945" w:type="dxa"/>
            <w:noWrap/>
            <w:hideMark/>
          </w:tcPr>
          <w:p w:rsidR="005C518D" w:rsidRPr="005C518D" w:rsidRDefault="005C518D" w:rsidP="005C518D">
            <w:pPr>
              <w:widowControl/>
              <w:jc w:val="left"/>
              <w:rPr>
                <w:rFonts w:ascii="宋体" w:eastAsia="宋体" w:hAnsi="宋体" w:cs="宋体"/>
                <w:color w:val="000000"/>
                <w:kern w:val="0"/>
                <w:sz w:val="18"/>
                <w:szCs w:val="18"/>
              </w:rPr>
            </w:pPr>
            <w:r w:rsidRPr="005C518D">
              <w:rPr>
                <w:rFonts w:ascii="宋体" w:eastAsia="宋体" w:hAnsi="宋体" w:cs="宋体" w:hint="eastAsia"/>
                <w:color w:val="000000"/>
                <w:kern w:val="0"/>
                <w:sz w:val="18"/>
                <w:szCs w:val="18"/>
              </w:rPr>
              <w:t>土木工程、机械工程</w:t>
            </w:r>
          </w:p>
        </w:tc>
      </w:tr>
      <w:tr w:rsidR="005C518D" w:rsidRPr="005C518D" w:rsidTr="000606FF">
        <w:trPr>
          <w:trHeight w:val="276"/>
          <w:jc w:val="center"/>
        </w:trPr>
        <w:tc>
          <w:tcPr>
            <w:tcW w:w="988" w:type="dxa"/>
            <w:noWrap/>
            <w:hideMark/>
          </w:tcPr>
          <w:p w:rsidR="005C518D" w:rsidRPr="005C518D" w:rsidRDefault="005C518D" w:rsidP="00717059">
            <w:pPr>
              <w:widowControl/>
              <w:jc w:val="center"/>
              <w:rPr>
                <w:rFonts w:ascii="宋体" w:eastAsia="宋体" w:hAnsi="宋体" w:cs="宋体"/>
                <w:color w:val="000000"/>
                <w:kern w:val="0"/>
                <w:sz w:val="18"/>
                <w:szCs w:val="18"/>
              </w:rPr>
            </w:pPr>
            <w:r w:rsidRPr="005C518D">
              <w:rPr>
                <w:rFonts w:ascii="宋体" w:eastAsia="宋体" w:hAnsi="宋体" w:cs="宋体" w:hint="eastAsia"/>
                <w:color w:val="000000"/>
                <w:kern w:val="0"/>
                <w:sz w:val="18"/>
                <w:szCs w:val="18"/>
              </w:rPr>
              <w:t>03</w:t>
            </w:r>
          </w:p>
        </w:tc>
        <w:tc>
          <w:tcPr>
            <w:tcW w:w="6945" w:type="dxa"/>
            <w:noWrap/>
            <w:hideMark/>
          </w:tcPr>
          <w:p w:rsidR="005C518D" w:rsidRPr="005C518D" w:rsidRDefault="005C518D" w:rsidP="005C518D">
            <w:pPr>
              <w:widowControl/>
              <w:jc w:val="left"/>
              <w:rPr>
                <w:rFonts w:ascii="宋体" w:eastAsia="宋体" w:hAnsi="宋体" w:cs="宋体"/>
                <w:color w:val="000000"/>
                <w:kern w:val="0"/>
                <w:sz w:val="18"/>
                <w:szCs w:val="18"/>
              </w:rPr>
            </w:pPr>
            <w:r w:rsidRPr="005C518D">
              <w:rPr>
                <w:rFonts w:ascii="宋体" w:eastAsia="宋体" w:hAnsi="宋体" w:cs="宋体" w:hint="eastAsia"/>
                <w:color w:val="000000"/>
                <w:kern w:val="0"/>
                <w:sz w:val="18"/>
                <w:szCs w:val="18"/>
              </w:rPr>
              <w:t>人工智能、土木工程</w:t>
            </w:r>
          </w:p>
        </w:tc>
      </w:tr>
      <w:tr w:rsidR="005C518D" w:rsidRPr="005C518D" w:rsidTr="000606FF">
        <w:trPr>
          <w:trHeight w:val="276"/>
          <w:jc w:val="center"/>
        </w:trPr>
        <w:tc>
          <w:tcPr>
            <w:tcW w:w="988" w:type="dxa"/>
            <w:noWrap/>
            <w:hideMark/>
          </w:tcPr>
          <w:p w:rsidR="005C518D" w:rsidRPr="005C518D" w:rsidRDefault="005C518D" w:rsidP="00717059">
            <w:pPr>
              <w:widowControl/>
              <w:jc w:val="center"/>
              <w:rPr>
                <w:rFonts w:ascii="宋体" w:eastAsia="宋体" w:hAnsi="宋体" w:cs="宋体"/>
                <w:color w:val="000000"/>
                <w:kern w:val="0"/>
                <w:sz w:val="18"/>
                <w:szCs w:val="18"/>
              </w:rPr>
            </w:pPr>
            <w:r w:rsidRPr="005C518D">
              <w:rPr>
                <w:rFonts w:ascii="宋体" w:eastAsia="宋体" w:hAnsi="宋体" w:cs="宋体" w:hint="eastAsia"/>
                <w:color w:val="000000"/>
                <w:kern w:val="0"/>
                <w:sz w:val="18"/>
                <w:szCs w:val="18"/>
              </w:rPr>
              <w:t>04</w:t>
            </w:r>
          </w:p>
        </w:tc>
        <w:tc>
          <w:tcPr>
            <w:tcW w:w="6945" w:type="dxa"/>
            <w:noWrap/>
            <w:hideMark/>
          </w:tcPr>
          <w:p w:rsidR="005C518D" w:rsidRPr="005C518D" w:rsidRDefault="005C518D" w:rsidP="005C518D">
            <w:pPr>
              <w:widowControl/>
              <w:jc w:val="left"/>
              <w:rPr>
                <w:rFonts w:ascii="宋体" w:eastAsia="宋体" w:hAnsi="宋体" w:cs="宋体"/>
                <w:color w:val="000000"/>
                <w:kern w:val="0"/>
                <w:sz w:val="18"/>
                <w:szCs w:val="18"/>
              </w:rPr>
            </w:pPr>
            <w:r w:rsidRPr="005C518D">
              <w:rPr>
                <w:rFonts w:ascii="宋体" w:eastAsia="宋体" w:hAnsi="宋体" w:cs="宋体" w:hint="eastAsia"/>
                <w:color w:val="000000"/>
                <w:kern w:val="0"/>
                <w:sz w:val="18"/>
                <w:szCs w:val="18"/>
              </w:rPr>
              <w:t>土木工程、交通运输工程、信息科学、机械工程、电气工程</w:t>
            </w:r>
          </w:p>
        </w:tc>
      </w:tr>
      <w:tr w:rsidR="005C518D" w:rsidRPr="005C518D" w:rsidTr="000606FF">
        <w:trPr>
          <w:trHeight w:val="276"/>
          <w:jc w:val="center"/>
        </w:trPr>
        <w:tc>
          <w:tcPr>
            <w:tcW w:w="988" w:type="dxa"/>
            <w:noWrap/>
            <w:hideMark/>
          </w:tcPr>
          <w:p w:rsidR="005C518D" w:rsidRPr="005C518D" w:rsidRDefault="005C518D" w:rsidP="00717059">
            <w:pPr>
              <w:widowControl/>
              <w:jc w:val="center"/>
              <w:rPr>
                <w:rFonts w:ascii="宋体" w:eastAsia="宋体" w:hAnsi="宋体" w:cs="宋体"/>
                <w:color w:val="000000"/>
                <w:kern w:val="0"/>
                <w:sz w:val="18"/>
                <w:szCs w:val="18"/>
              </w:rPr>
            </w:pPr>
            <w:r w:rsidRPr="005C518D">
              <w:rPr>
                <w:rFonts w:ascii="宋体" w:eastAsia="宋体" w:hAnsi="宋体" w:cs="宋体" w:hint="eastAsia"/>
                <w:color w:val="000000"/>
                <w:kern w:val="0"/>
                <w:sz w:val="18"/>
                <w:szCs w:val="18"/>
              </w:rPr>
              <w:t>06</w:t>
            </w:r>
          </w:p>
        </w:tc>
        <w:tc>
          <w:tcPr>
            <w:tcW w:w="6945" w:type="dxa"/>
            <w:noWrap/>
            <w:hideMark/>
          </w:tcPr>
          <w:p w:rsidR="005C518D" w:rsidRPr="005C518D" w:rsidRDefault="005C518D" w:rsidP="005C518D">
            <w:pPr>
              <w:widowControl/>
              <w:jc w:val="left"/>
              <w:rPr>
                <w:rFonts w:ascii="宋体" w:eastAsia="宋体" w:hAnsi="宋体" w:cs="宋体"/>
                <w:color w:val="000000"/>
                <w:kern w:val="0"/>
                <w:sz w:val="18"/>
                <w:szCs w:val="18"/>
              </w:rPr>
            </w:pPr>
            <w:r w:rsidRPr="005C518D">
              <w:rPr>
                <w:rFonts w:ascii="宋体" w:eastAsia="宋体" w:hAnsi="宋体" w:cs="宋体" w:hint="eastAsia"/>
                <w:color w:val="000000"/>
                <w:kern w:val="0"/>
                <w:sz w:val="18"/>
                <w:szCs w:val="18"/>
              </w:rPr>
              <w:t>土木工程、机械工程、电子与信息工程</w:t>
            </w:r>
          </w:p>
        </w:tc>
      </w:tr>
      <w:tr w:rsidR="005C518D" w:rsidRPr="005C518D" w:rsidTr="000606FF">
        <w:trPr>
          <w:trHeight w:val="276"/>
          <w:jc w:val="center"/>
        </w:trPr>
        <w:tc>
          <w:tcPr>
            <w:tcW w:w="988" w:type="dxa"/>
            <w:noWrap/>
            <w:hideMark/>
          </w:tcPr>
          <w:p w:rsidR="005C518D" w:rsidRPr="005C518D" w:rsidRDefault="005C518D" w:rsidP="00717059">
            <w:pPr>
              <w:widowControl/>
              <w:jc w:val="center"/>
              <w:rPr>
                <w:rFonts w:ascii="宋体" w:eastAsia="宋体" w:hAnsi="宋体" w:cs="宋体"/>
                <w:color w:val="000000"/>
                <w:kern w:val="0"/>
                <w:sz w:val="18"/>
                <w:szCs w:val="18"/>
              </w:rPr>
            </w:pPr>
            <w:r w:rsidRPr="005C518D">
              <w:rPr>
                <w:rFonts w:ascii="宋体" w:eastAsia="宋体" w:hAnsi="宋体" w:cs="宋体" w:hint="eastAsia"/>
                <w:color w:val="000000"/>
                <w:kern w:val="0"/>
                <w:sz w:val="18"/>
                <w:szCs w:val="18"/>
              </w:rPr>
              <w:t>07</w:t>
            </w:r>
          </w:p>
        </w:tc>
        <w:tc>
          <w:tcPr>
            <w:tcW w:w="6945" w:type="dxa"/>
            <w:noWrap/>
            <w:hideMark/>
          </w:tcPr>
          <w:p w:rsidR="005C518D" w:rsidRPr="005C518D" w:rsidRDefault="005C518D" w:rsidP="005C518D">
            <w:pPr>
              <w:widowControl/>
              <w:jc w:val="left"/>
              <w:rPr>
                <w:rFonts w:ascii="宋体" w:eastAsia="宋体" w:hAnsi="宋体" w:cs="宋体"/>
                <w:color w:val="000000"/>
                <w:kern w:val="0"/>
                <w:sz w:val="18"/>
                <w:szCs w:val="18"/>
              </w:rPr>
            </w:pPr>
            <w:r w:rsidRPr="005C518D">
              <w:rPr>
                <w:rFonts w:ascii="宋体" w:eastAsia="宋体" w:hAnsi="宋体" w:cs="宋体" w:hint="eastAsia"/>
                <w:color w:val="000000"/>
                <w:kern w:val="0"/>
                <w:sz w:val="18"/>
                <w:szCs w:val="18"/>
              </w:rPr>
              <w:t>土木工程、机械工程、电子信息工程、计算机技术、工程管理</w:t>
            </w:r>
          </w:p>
        </w:tc>
      </w:tr>
      <w:tr w:rsidR="005C518D" w:rsidRPr="005C518D" w:rsidTr="000606FF">
        <w:trPr>
          <w:trHeight w:val="276"/>
          <w:jc w:val="center"/>
        </w:trPr>
        <w:tc>
          <w:tcPr>
            <w:tcW w:w="988" w:type="dxa"/>
            <w:noWrap/>
            <w:hideMark/>
          </w:tcPr>
          <w:p w:rsidR="005C518D" w:rsidRPr="005C518D" w:rsidRDefault="005C518D" w:rsidP="00717059">
            <w:pPr>
              <w:widowControl/>
              <w:jc w:val="center"/>
              <w:rPr>
                <w:rFonts w:ascii="宋体" w:eastAsia="宋体" w:hAnsi="宋体" w:cs="宋体"/>
                <w:color w:val="000000"/>
                <w:kern w:val="0"/>
                <w:sz w:val="18"/>
                <w:szCs w:val="18"/>
              </w:rPr>
            </w:pPr>
            <w:r w:rsidRPr="005C518D">
              <w:rPr>
                <w:rFonts w:ascii="宋体" w:eastAsia="宋体" w:hAnsi="宋体" w:cs="宋体" w:hint="eastAsia"/>
                <w:color w:val="000000"/>
                <w:kern w:val="0"/>
                <w:sz w:val="18"/>
                <w:szCs w:val="18"/>
              </w:rPr>
              <w:t>12</w:t>
            </w:r>
          </w:p>
        </w:tc>
        <w:tc>
          <w:tcPr>
            <w:tcW w:w="6945" w:type="dxa"/>
            <w:noWrap/>
            <w:hideMark/>
          </w:tcPr>
          <w:p w:rsidR="005C518D" w:rsidRPr="005C518D" w:rsidRDefault="005C518D" w:rsidP="005C518D">
            <w:pPr>
              <w:widowControl/>
              <w:jc w:val="left"/>
              <w:rPr>
                <w:rFonts w:ascii="宋体" w:eastAsia="宋体" w:hAnsi="宋体" w:cs="宋体"/>
                <w:color w:val="000000"/>
                <w:kern w:val="0"/>
                <w:sz w:val="18"/>
                <w:szCs w:val="18"/>
              </w:rPr>
            </w:pPr>
            <w:r w:rsidRPr="005C518D">
              <w:rPr>
                <w:rFonts w:ascii="宋体" w:eastAsia="宋体" w:hAnsi="宋体" w:cs="宋体" w:hint="eastAsia"/>
                <w:color w:val="000000"/>
                <w:kern w:val="0"/>
                <w:sz w:val="18"/>
                <w:szCs w:val="18"/>
              </w:rPr>
              <w:t>土木工程、管理科学与工程、机械工程（控制）</w:t>
            </w:r>
          </w:p>
        </w:tc>
      </w:tr>
      <w:tr w:rsidR="005C518D" w:rsidRPr="005C518D" w:rsidTr="000606FF">
        <w:trPr>
          <w:trHeight w:val="276"/>
          <w:jc w:val="center"/>
        </w:trPr>
        <w:tc>
          <w:tcPr>
            <w:tcW w:w="988" w:type="dxa"/>
            <w:noWrap/>
            <w:hideMark/>
          </w:tcPr>
          <w:p w:rsidR="005C518D" w:rsidRPr="005C518D" w:rsidRDefault="005C518D" w:rsidP="00717059">
            <w:pPr>
              <w:widowControl/>
              <w:jc w:val="center"/>
              <w:rPr>
                <w:rFonts w:ascii="宋体" w:eastAsia="宋体" w:hAnsi="宋体" w:cs="宋体"/>
                <w:color w:val="000000"/>
                <w:kern w:val="0"/>
                <w:sz w:val="18"/>
                <w:szCs w:val="18"/>
              </w:rPr>
            </w:pPr>
            <w:r w:rsidRPr="005C518D">
              <w:rPr>
                <w:rFonts w:ascii="宋体" w:eastAsia="宋体" w:hAnsi="宋体" w:cs="宋体" w:hint="eastAsia"/>
                <w:color w:val="000000"/>
                <w:kern w:val="0"/>
                <w:sz w:val="18"/>
                <w:szCs w:val="18"/>
              </w:rPr>
              <w:t>14</w:t>
            </w:r>
          </w:p>
        </w:tc>
        <w:tc>
          <w:tcPr>
            <w:tcW w:w="6945" w:type="dxa"/>
            <w:noWrap/>
            <w:hideMark/>
          </w:tcPr>
          <w:p w:rsidR="005C518D" w:rsidRPr="005C518D" w:rsidRDefault="005C518D" w:rsidP="005C518D">
            <w:pPr>
              <w:widowControl/>
              <w:jc w:val="left"/>
              <w:rPr>
                <w:rFonts w:ascii="宋体" w:eastAsia="宋体" w:hAnsi="宋体" w:cs="宋体"/>
                <w:color w:val="000000"/>
                <w:kern w:val="0"/>
                <w:sz w:val="18"/>
                <w:szCs w:val="18"/>
              </w:rPr>
            </w:pPr>
            <w:r w:rsidRPr="005C518D">
              <w:rPr>
                <w:rFonts w:ascii="宋体" w:eastAsia="宋体" w:hAnsi="宋体" w:cs="宋体" w:hint="eastAsia"/>
                <w:color w:val="000000"/>
                <w:kern w:val="0"/>
                <w:sz w:val="18"/>
                <w:szCs w:val="18"/>
              </w:rPr>
              <w:t>力学、土木工程、机械工程、电子信息科学与工程、控制科学与工程、管理工程等</w:t>
            </w:r>
          </w:p>
        </w:tc>
      </w:tr>
      <w:tr w:rsidR="005C518D" w:rsidRPr="005C518D" w:rsidTr="000606FF">
        <w:trPr>
          <w:trHeight w:val="348"/>
          <w:jc w:val="center"/>
        </w:trPr>
        <w:tc>
          <w:tcPr>
            <w:tcW w:w="988" w:type="dxa"/>
            <w:noWrap/>
            <w:hideMark/>
          </w:tcPr>
          <w:p w:rsidR="005C518D" w:rsidRPr="005C518D" w:rsidRDefault="005C518D" w:rsidP="00717059">
            <w:pPr>
              <w:widowControl/>
              <w:jc w:val="center"/>
              <w:rPr>
                <w:rFonts w:ascii="宋体" w:eastAsia="宋体" w:hAnsi="宋体" w:cs="宋体"/>
                <w:color w:val="000000"/>
                <w:kern w:val="0"/>
                <w:sz w:val="18"/>
                <w:szCs w:val="18"/>
              </w:rPr>
            </w:pPr>
            <w:r w:rsidRPr="005C518D">
              <w:rPr>
                <w:rFonts w:ascii="宋体" w:eastAsia="宋体" w:hAnsi="宋体" w:cs="宋体" w:hint="eastAsia"/>
                <w:color w:val="000000"/>
                <w:kern w:val="0"/>
                <w:sz w:val="18"/>
                <w:szCs w:val="18"/>
              </w:rPr>
              <w:t>15</w:t>
            </w:r>
          </w:p>
        </w:tc>
        <w:tc>
          <w:tcPr>
            <w:tcW w:w="6945" w:type="dxa"/>
            <w:noWrap/>
            <w:hideMark/>
          </w:tcPr>
          <w:p w:rsidR="005C518D" w:rsidRPr="005C518D" w:rsidRDefault="005C518D" w:rsidP="005C518D">
            <w:pPr>
              <w:widowControl/>
              <w:jc w:val="left"/>
              <w:rPr>
                <w:rFonts w:ascii="宋体" w:eastAsia="宋体" w:hAnsi="宋体" w:cs="宋体"/>
                <w:color w:val="000000"/>
                <w:kern w:val="0"/>
                <w:sz w:val="18"/>
                <w:szCs w:val="18"/>
              </w:rPr>
            </w:pPr>
            <w:r w:rsidRPr="005C518D">
              <w:rPr>
                <w:rFonts w:ascii="宋体" w:eastAsia="宋体" w:hAnsi="宋体" w:cs="宋体" w:hint="eastAsia"/>
                <w:color w:val="000000"/>
                <w:kern w:val="0"/>
                <w:sz w:val="18"/>
                <w:szCs w:val="18"/>
              </w:rPr>
              <w:t>土木工程、控制技术与工程、计算机技术</w:t>
            </w:r>
          </w:p>
        </w:tc>
      </w:tr>
      <w:tr w:rsidR="005C518D" w:rsidRPr="005C518D" w:rsidTr="000606FF">
        <w:trPr>
          <w:trHeight w:val="276"/>
          <w:jc w:val="center"/>
        </w:trPr>
        <w:tc>
          <w:tcPr>
            <w:tcW w:w="988" w:type="dxa"/>
            <w:noWrap/>
            <w:hideMark/>
          </w:tcPr>
          <w:p w:rsidR="005C518D" w:rsidRPr="005C518D" w:rsidRDefault="005C518D" w:rsidP="00717059">
            <w:pPr>
              <w:widowControl/>
              <w:jc w:val="center"/>
              <w:rPr>
                <w:rFonts w:ascii="宋体" w:eastAsia="宋体" w:hAnsi="宋体" w:cs="宋体"/>
                <w:color w:val="000000"/>
                <w:kern w:val="0"/>
                <w:sz w:val="18"/>
                <w:szCs w:val="18"/>
              </w:rPr>
            </w:pPr>
            <w:r w:rsidRPr="005C518D">
              <w:rPr>
                <w:rFonts w:ascii="宋体" w:eastAsia="宋体" w:hAnsi="宋体" w:cs="宋体" w:hint="eastAsia"/>
                <w:color w:val="000000"/>
                <w:kern w:val="0"/>
                <w:sz w:val="18"/>
                <w:szCs w:val="18"/>
              </w:rPr>
              <w:t>17</w:t>
            </w:r>
          </w:p>
        </w:tc>
        <w:tc>
          <w:tcPr>
            <w:tcW w:w="6945" w:type="dxa"/>
            <w:noWrap/>
            <w:hideMark/>
          </w:tcPr>
          <w:p w:rsidR="005C518D" w:rsidRPr="005C518D" w:rsidRDefault="005C518D" w:rsidP="005C518D">
            <w:pPr>
              <w:widowControl/>
              <w:jc w:val="left"/>
              <w:rPr>
                <w:rFonts w:ascii="宋体" w:eastAsia="宋体" w:hAnsi="宋体" w:cs="宋体"/>
                <w:color w:val="000000"/>
                <w:kern w:val="0"/>
                <w:sz w:val="18"/>
                <w:szCs w:val="18"/>
              </w:rPr>
            </w:pPr>
            <w:r w:rsidRPr="005C518D">
              <w:rPr>
                <w:rFonts w:ascii="宋体" w:eastAsia="宋体" w:hAnsi="宋体" w:cs="宋体" w:hint="eastAsia"/>
                <w:color w:val="000000"/>
                <w:kern w:val="0"/>
                <w:sz w:val="18"/>
                <w:szCs w:val="18"/>
              </w:rPr>
              <w:t>土木工程</w:t>
            </w:r>
          </w:p>
        </w:tc>
      </w:tr>
      <w:tr w:rsidR="005C518D" w:rsidRPr="005C518D" w:rsidTr="000606FF">
        <w:trPr>
          <w:trHeight w:val="276"/>
          <w:jc w:val="center"/>
        </w:trPr>
        <w:tc>
          <w:tcPr>
            <w:tcW w:w="988" w:type="dxa"/>
            <w:noWrap/>
            <w:hideMark/>
          </w:tcPr>
          <w:p w:rsidR="005C518D" w:rsidRPr="005C518D" w:rsidRDefault="005C518D" w:rsidP="00717059">
            <w:pPr>
              <w:widowControl/>
              <w:jc w:val="center"/>
              <w:rPr>
                <w:rFonts w:ascii="宋体" w:eastAsia="宋体" w:hAnsi="宋体" w:cs="宋体"/>
                <w:color w:val="000000"/>
                <w:kern w:val="0"/>
                <w:sz w:val="18"/>
                <w:szCs w:val="18"/>
              </w:rPr>
            </w:pPr>
            <w:r w:rsidRPr="005C518D">
              <w:rPr>
                <w:rFonts w:ascii="宋体" w:eastAsia="宋体" w:hAnsi="宋体" w:cs="宋体" w:hint="eastAsia"/>
                <w:color w:val="000000"/>
                <w:kern w:val="0"/>
                <w:sz w:val="18"/>
                <w:szCs w:val="18"/>
              </w:rPr>
              <w:t>20</w:t>
            </w:r>
          </w:p>
        </w:tc>
        <w:tc>
          <w:tcPr>
            <w:tcW w:w="6945" w:type="dxa"/>
            <w:noWrap/>
            <w:hideMark/>
          </w:tcPr>
          <w:p w:rsidR="005C518D" w:rsidRPr="005C518D" w:rsidRDefault="005C518D" w:rsidP="005C518D">
            <w:pPr>
              <w:widowControl/>
              <w:jc w:val="left"/>
              <w:rPr>
                <w:rFonts w:ascii="宋体" w:eastAsia="宋体" w:hAnsi="宋体" w:cs="宋体"/>
                <w:color w:val="000000"/>
                <w:kern w:val="0"/>
                <w:sz w:val="18"/>
                <w:szCs w:val="18"/>
              </w:rPr>
            </w:pPr>
            <w:r w:rsidRPr="005C518D">
              <w:rPr>
                <w:rFonts w:ascii="宋体" w:eastAsia="宋体" w:hAnsi="宋体" w:cs="宋体" w:hint="eastAsia"/>
                <w:color w:val="000000"/>
                <w:kern w:val="0"/>
                <w:sz w:val="18"/>
                <w:szCs w:val="18"/>
              </w:rPr>
              <w:t>智能建造工程 、管理科学与工程</w:t>
            </w:r>
          </w:p>
        </w:tc>
      </w:tr>
    </w:tbl>
    <w:p w:rsidR="00B448F1" w:rsidRDefault="003A0CED" w:rsidP="000F610C">
      <w:pPr>
        <w:spacing w:line="360" w:lineRule="exact"/>
        <w:ind w:firstLine="420"/>
      </w:pPr>
      <w:r>
        <w:rPr>
          <w:rFonts w:hint="eastAsia"/>
        </w:rPr>
        <w:t>从各校所明确的主干学科可以看出</w:t>
      </w:r>
      <w:r w:rsidR="005D02FE">
        <w:rPr>
          <w:rFonts w:hint="eastAsia"/>
        </w:rPr>
        <w:t>，基本以</w:t>
      </w:r>
      <w:r w:rsidR="005D02FE" w:rsidRPr="005D02FE">
        <w:rPr>
          <w:rFonts w:hint="eastAsia"/>
        </w:rPr>
        <w:t>土木工程专业为基础，融合计算机应用技术、机械</w:t>
      </w:r>
      <w:r w:rsidR="00F13E30">
        <w:rPr>
          <w:rFonts w:hint="eastAsia"/>
        </w:rPr>
        <w:t>工程</w:t>
      </w:r>
      <w:r w:rsidR="005D02FE" w:rsidRPr="005D02FE">
        <w:rPr>
          <w:rFonts w:hint="eastAsia"/>
        </w:rPr>
        <w:t>、</w:t>
      </w:r>
      <w:r w:rsidR="00C6435C">
        <w:rPr>
          <w:rFonts w:hint="eastAsia"/>
        </w:rPr>
        <w:t>电子信息工程、</w:t>
      </w:r>
      <w:r w:rsidR="005D02FE" w:rsidRPr="005D02FE">
        <w:rPr>
          <w:rFonts w:hint="eastAsia"/>
        </w:rPr>
        <w:t>工程管理等专业发展而成</w:t>
      </w:r>
      <w:r w:rsidR="00F21AB1">
        <w:rPr>
          <w:rFonts w:hint="eastAsia"/>
        </w:rPr>
        <w:t>，能够充分体现智能建造专业的“新工科”特点，</w:t>
      </w:r>
      <w:r w:rsidR="005024ED">
        <w:rPr>
          <w:rFonts w:hint="eastAsia"/>
        </w:rPr>
        <w:t>实现学科的融合发展，适应社会的需求。</w:t>
      </w:r>
      <w:r w:rsidR="00C31918">
        <w:rPr>
          <w:rFonts w:hint="eastAsia"/>
        </w:rPr>
        <w:t>值得注意的是，相关院校之间对主干学科的认知并不是完全相同，</w:t>
      </w:r>
      <w:r w:rsidR="00E76A24">
        <w:rPr>
          <w:rFonts w:hint="eastAsia"/>
        </w:rPr>
        <w:t>还是存在着一定的差异</w:t>
      </w:r>
      <w:r w:rsidR="00997804">
        <w:rPr>
          <w:rFonts w:hint="eastAsia"/>
        </w:rPr>
        <w:t>，</w:t>
      </w:r>
      <w:r w:rsidR="009903A6">
        <w:rPr>
          <w:rFonts w:hint="eastAsia"/>
        </w:rPr>
        <w:t>需要进一步明确主干学科的情况，否则</w:t>
      </w:r>
      <w:r w:rsidR="00997804">
        <w:rPr>
          <w:rFonts w:hint="eastAsia"/>
        </w:rPr>
        <w:t>，从长远来讲并不利于本专业的</w:t>
      </w:r>
      <w:r w:rsidR="00F608BE">
        <w:rPr>
          <w:rFonts w:hint="eastAsia"/>
        </w:rPr>
        <w:t>可持续</w:t>
      </w:r>
      <w:r w:rsidR="00997804">
        <w:rPr>
          <w:rFonts w:hint="eastAsia"/>
        </w:rPr>
        <w:t>发展。</w:t>
      </w:r>
    </w:p>
    <w:p w:rsidR="00B448F1" w:rsidRPr="00C10637" w:rsidRDefault="00C14DF3">
      <w:pPr>
        <w:rPr>
          <w:b/>
          <w:sz w:val="24"/>
          <w:szCs w:val="24"/>
        </w:rPr>
      </w:pPr>
      <w:r w:rsidRPr="00C10637">
        <w:rPr>
          <w:rFonts w:hint="eastAsia"/>
          <w:b/>
          <w:sz w:val="24"/>
          <w:szCs w:val="24"/>
        </w:rPr>
        <w:t>3.</w:t>
      </w:r>
      <w:r w:rsidR="00AA0399" w:rsidRPr="00C10637">
        <w:rPr>
          <w:rFonts w:hint="eastAsia"/>
          <w:b/>
          <w:sz w:val="24"/>
          <w:szCs w:val="24"/>
        </w:rPr>
        <w:t>4</w:t>
      </w:r>
      <w:r w:rsidRPr="00C10637">
        <w:rPr>
          <w:b/>
          <w:sz w:val="24"/>
          <w:szCs w:val="24"/>
        </w:rPr>
        <w:t xml:space="preserve"> </w:t>
      </w:r>
      <w:r w:rsidRPr="00C10637">
        <w:rPr>
          <w:rFonts w:hint="eastAsia"/>
          <w:b/>
          <w:sz w:val="24"/>
          <w:szCs w:val="24"/>
        </w:rPr>
        <w:t>课程设置</w:t>
      </w:r>
    </w:p>
    <w:p w:rsidR="00DB30DB" w:rsidRDefault="00C8694F" w:rsidP="000F610C">
      <w:pPr>
        <w:spacing w:line="360" w:lineRule="exact"/>
        <w:ind w:firstLine="420"/>
      </w:pPr>
      <w:r>
        <w:rPr>
          <w:rFonts w:hint="eastAsia"/>
        </w:rPr>
        <w:t>课程设置是整个培养方案的核心。考虑到智能建造专业的具体情况，在进行课程设置分析时，除了对比分析</w:t>
      </w:r>
      <w:r w:rsidR="002E0C86">
        <w:rPr>
          <w:rFonts w:hint="eastAsia"/>
        </w:rPr>
        <w:t>20所研究对象本专业的课程设置情况外，还对照《高等学校土木工程本科指导性专业规范》，</w:t>
      </w:r>
      <w:r w:rsidR="007263D3">
        <w:rPr>
          <w:rFonts w:hint="eastAsia"/>
        </w:rPr>
        <w:t>对</w:t>
      </w:r>
      <w:r w:rsidR="004125F3">
        <w:rPr>
          <w:rFonts w:hint="eastAsia"/>
        </w:rPr>
        <w:t>各院校的</w:t>
      </w:r>
      <w:r w:rsidR="007263D3">
        <w:rPr>
          <w:rFonts w:hint="eastAsia"/>
        </w:rPr>
        <w:t>课程开设情况</w:t>
      </w:r>
      <w:r w:rsidR="002E0C86">
        <w:rPr>
          <w:rFonts w:hint="eastAsia"/>
        </w:rPr>
        <w:t>进行了深入的分析。</w:t>
      </w:r>
    </w:p>
    <w:p w:rsidR="00C8694F" w:rsidRDefault="00C8694F"/>
    <w:p w:rsidR="0052120D" w:rsidRPr="00C10637" w:rsidRDefault="0052120D">
      <w:pPr>
        <w:rPr>
          <w:b/>
        </w:rPr>
      </w:pPr>
      <w:r w:rsidRPr="00C10637">
        <w:rPr>
          <w:rFonts w:hint="eastAsia"/>
          <w:b/>
        </w:rPr>
        <w:t>3.</w:t>
      </w:r>
      <w:r w:rsidR="00AA0399" w:rsidRPr="00C10637">
        <w:rPr>
          <w:rFonts w:hint="eastAsia"/>
          <w:b/>
        </w:rPr>
        <w:t>4</w:t>
      </w:r>
      <w:r w:rsidRPr="00C10637">
        <w:rPr>
          <w:rFonts w:hint="eastAsia"/>
          <w:b/>
        </w:rPr>
        <w:t>.1</w:t>
      </w:r>
      <w:r w:rsidRPr="00C10637">
        <w:rPr>
          <w:b/>
        </w:rPr>
        <w:t xml:space="preserve"> </w:t>
      </w:r>
      <w:r w:rsidRPr="00C10637">
        <w:rPr>
          <w:rFonts w:hint="eastAsia"/>
          <w:b/>
        </w:rPr>
        <w:t>课程设置总体情况</w:t>
      </w:r>
    </w:p>
    <w:p w:rsidR="006C5D9C" w:rsidRDefault="0079287F" w:rsidP="000F610C">
      <w:pPr>
        <w:spacing w:line="360" w:lineRule="exact"/>
        <w:ind w:firstLine="420"/>
      </w:pPr>
      <w:r>
        <w:rPr>
          <w:rFonts w:hint="eastAsia"/>
        </w:rPr>
        <w:t>由于各个学校在课程设置上存在一定差异，</w:t>
      </w:r>
      <w:r w:rsidR="006C5D9C">
        <w:rPr>
          <w:rFonts w:hint="eastAsia"/>
        </w:rPr>
        <w:t>为了对比分析的有效性，按课程性质的不同，将课程分为必修课、选修课及实践性教学环节三个部分</w:t>
      </w:r>
      <w:r w:rsidR="006C5D9C">
        <w:t>。</w:t>
      </w:r>
      <w:r w:rsidR="00FD6D69">
        <w:rPr>
          <w:rFonts w:hint="eastAsia"/>
        </w:rPr>
        <w:t>其中，</w:t>
      </w:r>
      <w:r w:rsidR="006C5D9C">
        <w:t>必修</w:t>
      </w:r>
      <w:r w:rsidR="006C5D9C">
        <w:rPr>
          <w:rFonts w:hint="eastAsia"/>
        </w:rPr>
        <w:t>课程含公共平台课、学科基础平台课和专业课</w:t>
      </w:r>
      <w:r w:rsidR="0049077E">
        <w:rPr>
          <w:rFonts w:hint="eastAsia"/>
        </w:rPr>
        <w:t>；</w:t>
      </w:r>
      <w:r w:rsidR="006C5D9C">
        <w:t>选修课含专业选修课和公共选修课</w:t>
      </w:r>
      <w:r w:rsidR="00F84083">
        <w:rPr>
          <w:rFonts w:hint="eastAsia"/>
        </w:rPr>
        <w:t>；</w:t>
      </w:r>
      <w:r w:rsidR="006C5D9C">
        <w:t>实践</w:t>
      </w:r>
      <w:r w:rsidR="006C5D9C">
        <w:rPr>
          <w:rFonts w:hint="eastAsia"/>
        </w:rPr>
        <w:t>性教学环节包括专业实习、毕业见</w:t>
      </w:r>
      <w:r w:rsidR="00DD0F02">
        <w:rPr>
          <w:rFonts w:hint="eastAsia"/>
        </w:rPr>
        <w:t>（</w:t>
      </w:r>
      <w:r w:rsidR="006C5D9C">
        <w:t>实</w:t>
      </w:r>
      <w:r w:rsidR="00DD0F02">
        <w:rPr>
          <w:rFonts w:hint="eastAsia"/>
        </w:rPr>
        <w:t>）</w:t>
      </w:r>
      <w:r w:rsidR="006C5D9C">
        <w:t>习、毕业</w:t>
      </w:r>
      <w:r w:rsidR="006C5D9C">
        <w:rPr>
          <w:rFonts w:hint="eastAsia"/>
        </w:rPr>
        <w:t>论文以及专项学分等</w:t>
      </w:r>
      <w:r w:rsidR="009C3751" w:rsidRPr="00FE3A08">
        <w:rPr>
          <w:rFonts w:hint="eastAsia"/>
          <w:vertAlign w:val="superscript"/>
        </w:rPr>
        <w:t>[</w:t>
      </w:r>
      <w:r w:rsidR="009C3751" w:rsidRPr="00FE3A08">
        <w:rPr>
          <w:vertAlign w:val="superscript"/>
        </w:rPr>
        <w:t>7]</w:t>
      </w:r>
      <w:r w:rsidR="006C5D9C">
        <w:rPr>
          <w:rFonts w:hint="eastAsia"/>
        </w:rPr>
        <w:t>。</w:t>
      </w:r>
      <w:r w:rsidR="00B4601C">
        <w:rPr>
          <w:rFonts w:hint="eastAsia"/>
        </w:rPr>
        <w:t>各个学校</w:t>
      </w:r>
      <w:r w:rsidR="004C60EA">
        <w:rPr>
          <w:rFonts w:hint="eastAsia"/>
        </w:rPr>
        <w:t>不同类型课程学分间的比例关系如图</w:t>
      </w:r>
      <w:r w:rsidR="00BC1661">
        <w:rPr>
          <w:rFonts w:hint="eastAsia"/>
        </w:rPr>
        <w:t>2</w:t>
      </w:r>
      <w:r w:rsidR="004C60EA">
        <w:rPr>
          <w:rFonts w:hint="eastAsia"/>
        </w:rPr>
        <w:t>所示。</w:t>
      </w:r>
    </w:p>
    <w:p w:rsidR="002324A0" w:rsidRDefault="002324A0" w:rsidP="002324A0">
      <w:pPr>
        <w:spacing w:line="360" w:lineRule="exact"/>
        <w:ind w:firstLine="420"/>
      </w:pPr>
      <w:r>
        <w:rPr>
          <w:rFonts w:hint="eastAsia"/>
        </w:rPr>
        <w:t>从数据对比的情况来看，各校课程的设置总体情况基本相似，但在各个部分的构成</w:t>
      </w:r>
      <w:r w:rsidR="00EE2D9F">
        <w:rPr>
          <w:rFonts w:hint="eastAsia"/>
        </w:rPr>
        <w:t>比例</w:t>
      </w:r>
      <w:r>
        <w:rPr>
          <w:rFonts w:hint="eastAsia"/>
        </w:rPr>
        <w:t>还是存在着较大的差异，这一方面说明相关学校智能建造人才培养方案的设计思路存在一定的差异，同时也能充分体现各校自身的特色。</w:t>
      </w:r>
    </w:p>
    <w:p w:rsidR="006C5D9C" w:rsidRPr="002324A0" w:rsidRDefault="006C5D9C"/>
    <w:p w:rsidR="00C8694F" w:rsidRDefault="00264131" w:rsidP="00C3263B">
      <w:pPr>
        <w:jc w:val="center"/>
      </w:pPr>
      <w:r>
        <w:rPr>
          <w:noProof/>
        </w:rPr>
        <w:lastRenderedPageBreak/>
        <w:drawing>
          <wp:inline distT="0" distB="0" distL="0" distR="0" wp14:anchorId="4491AA74" wp14:editId="2AC5A312">
            <wp:extent cx="5274310" cy="3811905"/>
            <wp:effectExtent l="0" t="0" r="2540" b="0"/>
            <wp:docPr id="5" name="图表 5">
              <a:extLst xmlns:a="http://schemas.openxmlformats.org/drawingml/2006/main">
                <a:ext uri="{FF2B5EF4-FFF2-40B4-BE49-F238E27FC236}">
                  <a16:creationId xmlns:a16="http://schemas.microsoft.com/office/drawing/2014/main" id="{E36DCC03-CE2D-4171-8F12-982A2F9304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C1661" w:rsidRPr="00BC1661" w:rsidRDefault="00BC1661" w:rsidP="00BC1661">
      <w:pPr>
        <w:jc w:val="center"/>
        <w:rPr>
          <w:rFonts w:ascii="黑体" w:eastAsia="黑体" w:hAnsi="黑体"/>
        </w:rPr>
      </w:pPr>
      <w:r w:rsidRPr="00BC1661">
        <w:rPr>
          <w:rFonts w:ascii="黑体" w:eastAsia="黑体" w:hAnsi="黑体" w:hint="eastAsia"/>
        </w:rPr>
        <w:t>图2</w:t>
      </w:r>
      <w:r w:rsidRPr="00BC1661">
        <w:rPr>
          <w:rFonts w:ascii="黑体" w:eastAsia="黑体" w:hAnsi="黑体"/>
        </w:rPr>
        <w:t xml:space="preserve">  </w:t>
      </w:r>
      <w:r w:rsidRPr="00BC1661">
        <w:rPr>
          <w:rFonts w:ascii="黑体" w:eastAsia="黑体" w:hAnsi="黑体" w:hint="eastAsia"/>
        </w:rPr>
        <w:t>课程类型占比分析</w:t>
      </w:r>
    </w:p>
    <w:p w:rsidR="00513F74" w:rsidRDefault="00513F74"/>
    <w:p w:rsidR="00513F74" w:rsidRPr="00C10637" w:rsidRDefault="00107733">
      <w:pPr>
        <w:rPr>
          <w:b/>
        </w:rPr>
      </w:pPr>
      <w:r w:rsidRPr="00C10637">
        <w:rPr>
          <w:rFonts w:hint="eastAsia"/>
          <w:b/>
        </w:rPr>
        <w:t>3</w:t>
      </w:r>
      <w:r w:rsidRPr="00C10637">
        <w:rPr>
          <w:b/>
        </w:rPr>
        <w:t>.</w:t>
      </w:r>
      <w:r w:rsidR="00AA0399" w:rsidRPr="00C10637">
        <w:rPr>
          <w:rFonts w:hint="eastAsia"/>
          <w:b/>
        </w:rPr>
        <w:t>4</w:t>
      </w:r>
      <w:r w:rsidRPr="00C10637">
        <w:rPr>
          <w:b/>
        </w:rPr>
        <w:t xml:space="preserve">.2 </w:t>
      </w:r>
      <w:r w:rsidR="00397235" w:rsidRPr="00C10637">
        <w:rPr>
          <w:rFonts w:hint="eastAsia"/>
          <w:b/>
        </w:rPr>
        <w:t>学科基础</w:t>
      </w:r>
      <w:r w:rsidR="001D5F8A" w:rsidRPr="00C10637">
        <w:rPr>
          <w:rFonts w:hint="eastAsia"/>
          <w:b/>
        </w:rPr>
        <w:t>及</w:t>
      </w:r>
      <w:r w:rsidRPr="00C10637">
        <w:rPr>
          <w:b/>
        </w:rPr>
        <w:t>专业课</w:t>
      </w:r>
      <w:r w:rsidRPr="00C10637">
        <w:rPr>
          <w:rFonts w:hint="eastAsia"/>
          <w:b/>
        </w:rPr>
        <w:t>设置</w:t>
      </w:r>
    </w:p>
    <w:p w:rsidR="00107733" w:rsidRDefault="00EA54B4" w:rsidP="000F610C">
      <w:pPr>
        <w:spacing w:line="360" w:lineRule="exact"/>
        <w:ind w:firstLine="420"/>
      </w:pPr>
      <w:r>
        <w:rPr>
          <w:rFonts w:hint="eastAsia"/>
        </w:rPr>
        <w:t>如前所述，由于智能建造专业与土木工程专业存在着密切的关联关系，为了分析各校在智能建造专业学科基础及专业课程中课程的情况，对照</w:t>
      </w:r>
      <w:bookmarkStart w:id="0" w:name="_Hlk150937064"/>
      <w:r>
        <w:rPr>
          <w:rFonts w:hint="eastAsia"/>
        </w:rPr>
        <w:t>《高等学校土木工程专业本科指导性专业规范》</w:t>
      </w:r>
      <w:bookmarkEnd w:id="0"/>
      <w:r>
        <w:rPr>
          <w:rFonts w:hint="eastAsia"/>
        </w:rPr>
        <w:t>中所规定的土木工程专业核心知识推荐课程，与各校的人才培养方案进行对比分析，共汇总得到规范推荐课程之外的新设课程47门。</w:t>
      </w:r>
      <w:r w:rsidR="00F8761A">
        <w:rPr>
          <w:rFonts w:hint="eastAsia"/>
        </w:rPr>
        <w:t>其中，开设学校超过2的课程有21门，基本情况如表</w:t>
      </w:r>
      <w:r w:rsidR="0061547A">
        <w:rPr>
          <w:rFonts w:hint="eastAsia"/>
        </w:rPr>
        <w:t>3</w:t>
      </w:r>
      <w:r w:rsidR="00F8761A">
        <w:rPr>
          <w:rFonts w:hint="eastAsia"/>
        </w:rPr>
        <w:t>所示。</w:t>
      </w:r>
    </w:p>
    <w:p w:rsidR="001139F3" w:rsidRPr="00C10637" w:rsidRDefault="001139F3" w:rsidP="001139F3">
      <w:pPr>
        <w:ind w:firstLine="420"/>
        <w:rPr>
          <w:rFonts w:ascii="黑体" w:eastAsia="黑体" w:hAnsi="黑体"/>
        </w:rPr>
      </w:pPr>
      <w:r w:rsidRPr="00C10637">
        <w:rPr>
          <w:rFonts w:ascii="黑体" w:eastAsia="黑体" w:hAnsi="黑体" w:hint="eastAsia"/>
        </w:rPr>
        <w:t>表</w:t>
      </w:r>
      <w:r w:rsidR="00E05DC6" w:rsidRPr="00C10637">
        <w:rPr>
          <w:rFonts w:ascii="黑体" w:eastAsia="黑体" w:hAnsi="黑体" w:hint="eastAsia"/>
        </w:rPr>
        <w:t>3</w:t>
      </w:r>
      <w:r w:rsidR="00E05DC6" w:rsidRPr="00C10637">
        <w:rPr>
          <w:rFonts w:ascii="黑体" w:eastAsia="黑体" w:hAnsi="黑体"/>
        </w:rPr>
        <w:t xml:space="preserve">     </w:t>
      </w:r>
      <w:r w:rsidR="00CA358F">
        <w:rPr>
          <w:rFonts w:ascii="黑体" w:eastAsia="黑体" w:hAnsi="黑体"/>
        </w:rPr>
        <w:t xml:space="preserve">  </w:t>
      </w:r>
      <w:r w:rsidR="00E05DC6" w:rsidRPr="00C10637">
        <w:rPr>
          <w:rFonts w:ascii="黑体" w:eastAsia="黑体" w:hAnsi="黑体"/>
        </w:rPr>
        <w:t xml:space="preserve">               </w:t>
      </w:r>
      <w:r w:rsidR="00E05DC6" w:rsidRPr="00C10637">
        <w:rPr>
          <w:rFonts w:ascii="黑体" w:eastAsia="黑体" w:hAnsi="黑体" w:hint="eastAsia"/>
        </w:rPr>
        <w:t>学科基础及专业课情况表</w:t>
      </w:r>
    </w:p>
    <w:tbl>
      <w:tblPr>
        <w:tblStyle w:val="aa"/>
        <w:tblW w:w="7669" w:type="dxa"/>
        <w:jc w:val="center"/>
        <w:tblLook w:val="04A0" w:firstRow="1" w:lastRow="0" w:firstColumn="1" w:lastColumn="0" w:noHBand="0" w:noVBand="1"/>
      </w:tblPr>
      <w:tblGrid>
        <w:gridCol w:w="704"/>
        <w:gridCol w:w="2409"/>
        <w:gridCol w:w="1134"/>
        <w:gridCol w:w="587"/>
        <w:gridCol w:w="1854"/>
        <w:gridCol w:w="981"/>
      </w:tblGrid>
      <w:tr w:rsidR="00E20169" w:rsidRPr="00A816CE" w:rsidTr="00017955">
        <w:trPr>
          <w:trHeight w:val="276"/>
          <w:jc w:val="center"/>
        </w:trPr>
        <w:tc>
          <w:tcPr>
            <w:tcW w:w="704" w:type="dxa"/>
            <w:vAlign w:val="center"/>
          </w:tcPr>
          <w:p w:rsidR="00E20169" w:rsidRPr="00A816CE" w:rsidRDefault="00E20169" w:rsidP="00E20169">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序号</w:t>
            </w:r>
          </w:p>
        </w:tc>
        <w:tc>
          <w:tcPr>
            <w:tcW w:w="2409" w:type="dxa"/>
            <w:noWrap/>
            <w:vAlign w:val="center"/>
            <w:hideMark/>
          </w:tcPr>
          <w:p w:rsidR="00E20169" w:rsidRPr="00A816CE" w:rsidRDefault="00E20169" w:rsidP="00E20169">
            <w:pPr>
              <w:widowControl/>
              <w:jc w:val="center"/>
              <w:rPr>
                <w:rFonts w:ascii="宋体" w:eastAsia="宋体" w:hAnsi="宋体" w:cs="宋体"/>
                <w:kern w:val="0"/>
                <w:sz w:val="18"/>
                <w:szCs w:val="18"/>
              </w:rPr>
            </w:pPr>
            <w:r w:rsidRPr="00A816CE">
              <w:rPr>
                <w:rFonts w:ascii="宋体" w:eastAsia="宋体" w:hAnsi="宋体" w:cs="宋体" w:hint="eastAsia"/>
                <w:kern w:val="0"/>
                <w:sz w:val="18"/>
                <w:szCs w:val="18"/>
              </w:rPr>
              <w:t>课程名称</w:t>
            </w:r>
          </w:p>
        </w:tc>
        <w:tc>
          <w:tcPr>
            <w:tcW w:w="1134" w:type="dxa"/>
            <w:tcBorders>
              <w:right w:val="double" w:sz="4" w:space="0" w:color="auto"/>
            </w:tcBorders>
            <w:noWrap/>
            <w:vAlign w:val="center"/>
            <w:hideMark/>
          </w:tcPr>
          <w:p w:rsidR="00E20169" w:rsidRPr="00A816CE" w:rsidRDefault="00E20169" w:rsidP="00E20169">
            <w:pPr>
              <w:widowControl/>
              <w:jc w:val="center"/>
              <w:rPr>
                <w:rFonts w:ascii="宋体" w:eastAsia="宋体" w:hAnsi="宋体" w:cs="宋体"/>
                <w:kern w:val="0"/>
                <w:sz w:val="18"/>
                <w:szCs w:val="18"/>
              </w:rPr>
            </w:pPr>
            <w:r w:rsidRPr="00A816CE">
              <w:rPr>
                <w:rFonts w:ascii="宋体" w:eastAsia="宋体" w:hAnsi="宋体" w:cs="宋体" w:hint="eastAsia"/>
                <w:kern w:val="0"/>
                <w:sz w:val="18"/>
                <w:szCs w:val="18"/>
              </w:rPr>
              <w:t>开设学校</w:t>
            </w:r>
          </w:p>
          <w:p w:rsidR="00E20169" w:rsidRPr="00A816CE" w:rsidRDefault="00E20169" w:rsidP="00E20169">
            <w:pPr>
              <w:widowControl/>
              <w:jc w:val="center"/>
              <w:rPr>
                <w:rFonts w:ascii="宋体" w:eastAsia="宋体" w:hAnsi="宋体" w:cs="宋体"/>
                <w:kern w:val="0"/>
                <w:sz w:val="18"/>
                <w:szCs w:val="18"/>
              </w:rPr>
            </w:pPr>
            <w:r w:rsidRPr="00A816CE">
              <w:rPr>
                <w:rFonts w:ascii="宋体" w:eastAsia="宋体" w:hAnsi="宋体" w:cs="宋体" w:hint="eastAsia"/>
                <w:kern w:val="0"/>
                <w:sz w:val="18"/>
                <w:szCs w:val="18"/>
              </w:rPr>
              <w:t>数量</w:t>
            </w:r>
          </w:p>
        </w:tc>
        <w:tc>
          <w:tcPr>
            <w:tcW w:w="587" w:type="dxa"/>
            <w:tcBorders>
              <w:right w:val="single" w:sz="4" w:space="0" w:color="auto"/>
            </w:tcBorders>
            <w:vAlign w:val="center"/>
          </w:tcPr>
          <w:p w:rsidR="00E20169" w:rsidRPr="00A816CE" w:rsidRDefault="00E20169" w:rsidP="00E20169">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序号</w:t>
            </w:r>
          </w:p>
        </w:tc>
        <w:tc>
          <w:tcPr>
            <w:tcW w:w="1854" w:type="dxa"/>
            <w:tcBorders>
              <w:left w:val="single" w:sz="4" w:space="0" w:color="auto"/>
            </w:tcBorders>
            <w:vAlign w:val="center"/>
          </w:tcPr>
          <w:p w:rsidR="00E20169" w:rsidRPr="00A816CE" w:rsidRDefault="00E20169" w:rsidP="00E20169">
            <w:pPr>
              <w:widowControl/>
              <w:jc w:val="center"/>
              <w:rPr>
                <w:rFonts w:ascii="宋体" w:eastAsia="宋体" w:hAnsi="宋体" w:cs="宋体"/>
                <w:kern w:val="0"/>
                <w:sz w:val="18"/>
                <w:szCs w:val="18"/>
              </w:rPr>
            </w:pPr>
            <w:r w:rsidRPr="00A816CE">
              <w:rPr>
                <w:rFonts w:ascii="宋体" w:eastAsia="宋体" w:hAnsi="宋体" w:cs="宋体" w:hint="eastAsia"/>
                <w:kern w:val="0"/>
                <w:sz w:val="18"/>
                <w:szCs w:val="18"/>
              </w:rPr>
              <w:t>课程名称</w:t>
            </w:r>
          </w:p>
        </w:tc>
        <w:tc>
          <w:tcPr>
            <w:tcW w:w="981" w:type="dxa"/>
            <w:vAlign w:val="center"/>
          </w:tcPr>
          <w:p w:rsidR="00E20169" w:rsidRPr="00A816CE" w:rsidRDefault="00E20169" w:rsidP="00E20169">
            <w:pPr>
              <w:widowControl/>
              <w:jc w:val="center"/>
              <w:rPr>
                <w:rFonts w:ascii="宋体" w:eastAsia="宋体" w:hAnsi="宋体" w:cs="宋体"/>
                <w:kern w:val="0"/>
                <w:sz w:val="18"/>
                <w:szCs w:val="18"/>
              </w:rPr>
            </w:pPr>
            <w:r w:rsidRPr="00A816CE">
              <w:rPr>
                <w:rFonts w:ascii="宋体" w:eastAsia="宋体" w:hAnsi="宋体" w:cs="宋体" w:hint="eastAsia"/>
                <w:kern w:val="0"/>
                <w:sz w:val="18"/>
                <w:szCs w:val="18"/>
              </w:rPr>
              <w:t>开设学校</w:t>
            </w:r>
          </w:p>
          <w:p w:rsidR="00E20169" w:rsidRPr="00A816CE" w:rsidRDefault="00E20169" w:rsidP="00E20169">
            <w:pPr>
              <w:widowControl/>
              <w:jc w:val="center"/>
              <w:rPr>
                <w:rFonts w:ascii="宋体" w:eastAsia="宋体" w:hAnsi="宋体" w:cs="宋体"/>
                <w:kern w:val="0"/>
                <w:sz w:val="18"/>
                <w:szCs w:val="18"/>
              </w:rPr>
            </w:pPr>
            <w:r w:rsidRPr="00A816CE">
              <w:rPr>
                <w:rFonts w:ascii="宋体" w:eastAsia="宋体" w:hAnsi="宋体" w:cs="宋体" w:hint="eastAsia"/>
                <w:kern w:val="0"/>
                <w:sz w:val="18"/>
                <w:szCs w:val="18"/>
              </w:rPr>
              <w:t>数量</w:t>
            </w:r>
          </w:p>
        </w:tc>
      </w:tr>
      <w:tr w:rsidR="00E20169" w:rsidRPr="00A816CE" w:rsidTr="00017955">
        <w:trPr>
          <w:trHeight w:val="276"/>
          <w:jc w:val="center"/>
        </w:trPr>
        <w:tc>
          <w:tcPr>
            <w:tcW w:w="704" w:type="dxa"/>
            <w:vAlign w:val="center"/>
          </w:tcPr>
          <w:p w:rsidR="00E20169" w:rsidRPr="00A816CE" w:rsidRDefault="00E20169" w:rsidP="00E20169">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w:t>
            </w:r>
          </w:p>
        </w:tc>
        <w:tc>
          <w:tcPr>
            <w:tcW w:w="2409" w:type="dxa"/>
            <w:noWrap/>
            <w:hideMark/>
          </w:tcPr>
          <w:p w:rsidR="00E20169" w:rsidRPr="00A816CE" w:rsidRDefault="00E20169" w:rsidP="00E6538B">
            <w:pPr>
              <w:widowControl/>
              <w:jc w:val="left"/>
              <w:rPr>
                <w:rFonts w:ascii="宋体" w:eastAsia="宋体" w:hAnsi="宋体" w:cs="宋体"/>
                <w:kern w:val="0"/>
                <w:sz w:val="18"/>
                <w:szCs w:val="18"/>
              </w:rPr>
            </w:pPr>
            <w:r w:rsidRPr="00A816CE">
              <w:rPr>
                <w:rFonts w:ascii="宋体" w:eastAsia="宋体" w:hAnsi="宋体" w:cs="宋体" w:hint="eastAsia"/>
                <w:kern w:val="0"/>
                <w:sz w:val="18"/>
                <w:szCs w:val="18"/>
              </w:rPr>
              <w:t>BIM技术与应用</w:t>
            </w:r>
          </w:p>
        </w:tc>
        <w:tc>
          <w:tcPr>
            <w:tcW w:w="1134" w:type="dxa"/>
            <w:tcBorders>
              <w:right w:val="double" w:sz="4" w:space="0" w:color="auto"/>
            </w:tcBorders>
            <w:noWrap/>
            <w:vAlign w:val="center"/>
            <w:hideMark/>
          </w:tcPr>
          <w:p w:rsidR="00E20169" w:rsidRPr="00A816CE" w:rsidRDefault="00E20169" w:rsidP="00397235">
            <w:pPr>
              <w:widowControl/>
              <w:jc w:val="center"/>
              <w:rPr>
                <w:rFonts w:ascii="宋体" w:eastAsia="宋体" w:hAnsi="宋体" w:cs="宋体"/>
                <w:kern w:val="0"/>
                <w:sz w:val="18"/>
                <w:szCs w:val="18"/>
              </w:rPr>
            </w:pPr>
            <w:r w:rsidRPr="00A816CE">
              <w:rPr>
                <w:rFonts w:ascii="宋体" w:eastAsia="宋体" w:hAnsi="宋体" w:cs="宋体" w:hint="eastAsia"/>
                <w:kern w:val="0"/>
                <w:sz w:val="18"/>
                <w:szCs w:val="18"/>
              </w:rPr>
              <w:t>20</w:t>
            </w:r>
          </w:p>
        </w:tc>
        <w:tc>
          <w:tcPr>
            <w:tcW w:w="587" w:type="dxa"/>
            <w:tcBorders>
              <w:right w:val="single" w:sz="4" w:space="0" w:color="auto"/>
            </w:tcBorders>
            <w:vAlign w:val="center"/>
          </w:tcPr>
          <w:p w:rsidR="00E20169" w:rsidRPr="00A816CE" w:rsidRDefault="00E20169" w:rsidP="00E20169">
            <w:pPr>
              <w:widowControl/>
              <w:jc w:val="center"/>
              <w:rPr>
                <w:rFonts w:ascii="宋体" w:eastAsia="宋体" w:hAnsi="宋体" w:hint="eastAsia"/>
                <w:sz w:val="18"/>
                <w:szCs w:val="18"/>
              </w:rPr>
            </w:pPr>
            <w:r>
              <w:rPr>
                <w:rFonts w:ascii="宋体" w:eastAsia="宋体" w:hAnsi="宋体" w:hint="eastAsia"/>
                <w:sz w:val="18"/>
                <w:szCs w:val="18"/>
              </w:rPr>
              <w:t>12</w:t>
            </w:r>
          </w:p>
        </w:tc>
        <w:tc>
          <w:tcPr>
            <w:tcW w:w="1854" w:type="dxa"/>
            <w:tcBorders>
              <w:left w:val="single" w:sz="4" w:space="0" w:color="auto"/>
            </w:tcBorders>
          </w:tcPr>
          <w:p w:rsidR="00E20169" w:rsidRPr="00A816CE" w:rsidRDefault="00E20169" w:rsidP="00E6538B">
            <w:pPr>
              <w:widowControl/>
              <w:jc w:val="left"/>
              <w:rPr>
                <w:rFonts w:ascii="宋体" w:eastAsia="宋体" w:hAnsi="宋体"/>
                <w:sz w:val="18"/>
                <w:szCs w:val="18"/>
              </w:rPr>
            </w:pPr>
            <w:r w:rsidRPr="00A816CE">
              <w:rPr>
                <w:rFonts w:ascii="宋体" w:eastAsia="宋体" w:hAnsi="宋体" w:hint="eastAsia"/>
                <w:sz w:val="18"/>
                <w:szCs w:val="18"/>
              </w:rPr>
              <w:t>大数据基础及应用</w:t>
            </w:r>
          </w:p>
        </w:tc>
        <w:tc>
          <w:tcPr>
            <w:tcW w:w="981" w:type="dxa"/>
            <w:vAlign w:val="center"/>
          </w:tcPr>
          <w:p w:rsidR="00E20169" w:rsidRPr="00A816CE" w:rsidRDefault="00E20169" w:rsidP="00397235">
            <w:pPr>
              <w:jc w:val="center"/>
              <w:rPr>
                <w:rFonts w:ascii="宋体" w:eastAsia="宋体" w:hAnsi="宋体"/>
                <w:sz w:val="18"/>
                <w:szCs w:val="18"/>
              </w:rPr>
            </w:pPr>
            <w:r w:rsidRPr="00A816CE">
              <w:rPr>
                <w:rFonts w:ascii="宋体" w:eastAsia="宋体" w:hAnsi="宋体" w:hint="eastAsia"/>
                <w:sz w:val="18"/>
                <w:szCs w:val="18"/>
              </w:rPr>
              <w:t>6</w:t>
            </w:r>
          </w:p>
        </w:tc>
      </w:tr>
      <w:tr w:rsidR="00E20169" w:rsidRPr="00A816CE" w:rsidTr="00017955">
        <w:trPr>
          <w:trHeight w:val="276"/>
          <w:jc w:val="center"/>
        </w:trPr>
        <w:tc>
          <w:tcPr>
            <w:tcW w:w="704" w:type="dxa"/>
            <w:vAlign w:val="center"/>
          </w:tcPr>
          <w:p w:rsidR="00E20169" w:rsidRPr="00A816CE" w:rsidRDefault="00E20169" w:rsidP="00E20169">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2</w:t>
            </w:r>
          </w:p>
        </w:tc>
        <w:tc>
          <w:tcPr>
            <w:tcW w:w="2409" w:type="dxa"/>
            <w:noWrap/>
            <w:hideMark/>
          </w:tcPr>
          <w:p w:rsidR="00E20169" w:rsidRPr="00A816CE" w:rsidRDefault="00E20169" w:rsidP="00E6538B">
            <w:pPr>
              <w:widowControl/>
              <w:jc w:val="left"/>
              <w:rPr>
                <w:rFonts w:ascii="宋体" w:eastAsia="宋体" w:hAnsi="宋体" w:cs="宋体"/>
                <w:kern w:val="0"/>
                <w:sz w:val="18"/>
                <w:szCs w:val="18"/>
              </w:rPr>
            </w:pPr>
            <w:r w:rsidRPr="00A816CE">
              <w:rPr>
                <w:rFonts w:ascii="宋体" w:eastAsia="宋体" w:hAnsi="宋体" w:cs="宋体" w:hint="eastAsia"/>
                <w:kern w:val="0"/>
                <w:sz w:val="18"/>
                <w:szCs w:val="18"/>
              </w:rPr>
              <w:t>传感器与物联网原理及应用</w:t>
            </w:r>
          </w:p>
        </w:tc>
        <w:tc>
          <w:tcPr>
            <w:tcW w:w="1134" w:type="dxa"/>
            <w:tcBorders>
              <w:right w:val="double" w:sz="4" w:space="0" w:color="auto"/>
            </w:tcBorders>
            <w:noWrap/>
            <w:vAlign w:val="center"/>
            <w:hideMark/>
          </w:tcPr>
          <w:p w:rsidR="00E20169" w:rsidRPr="00A816CE" w:rsidRDefault="00E20169" w:rsidP="00397235">
            <w:pPr>
              <w:widowControl/>
              <w:jc w:val="center"/>
              <w:rPr>
                <w:rFonts w:ascii="宋体" w:eastAsia="宋体" w:hAnsi="宋体" w:cs="宋体"/>
                <w:kern w:val="0"/>
                <w:sz w:val="18"/>
                <w:szCs w:val="18"/>
              </w:rPr>
            </w:pPr>
            <w:r w:rsidRPr="00A816CE">
              <w:rPr>
                <w:rFonts w:ascii="宋体" w:eastAsia="宋体" w:hAnsi="宋体" w:cs="宋体" w:hint="eastAsia"/>
                <w:kern w:val="0"/>
                <w:sz w:val="18"/>
                <w:szCs w:val="18"/>
              </w:rPr>
              <w:t>12</w:t>
            </w:r>
          </w:p>
        </w:tc>
        <w:tc>
          <w:tcPr>
            <w:tcW w:w="587" w:type="dxa"/>
            <w:tcBorders>
              <w:right w:val="single" w:sz="4" w:space="0" w:color="auto"/>
            </w:tcBorders>
            <w:vAlign w:val="center"/>
          </w:tcPr>
          <w:p w:rsidR="00E20169" w:rsidRPr="00A816CE" w:rsidRDefault="00E20169" w:rsidP="00E20169">
            <w:pPr>
              <w:jc w:val="center"/>
              <w:rPr>
                <w:rFonts w:ascii="宋体" w:eastAsia="宋体" w:hAnsi="宋体" w:hint="eastAsia"/>
                <w:sz w:val="18"/>
                <w:szCs w:val="18"/>
              </w:rPr>
            </w:pPr>
            <w:r>
              <w:rPr>
                <w:rFonts w:ascii="宋体" w:eastAsia="宋体" w:hAnsi="宋体" w:hint="eastAsia"/>
                <w:sz w:val="18"/>
                <w:szCs w:val="18"/>
              </w:rPr>
              <w:t>13</w:t>
            </w:r>
          </w:p>
        </w:tc>
        <w:tc>
          <w:tcPr>
            <w:tcW w:w="1854" w:type="dxa"/>
            <w:tcBorders>
              <w:left w:val="single" w:sz="4" w:space="0" w:color="auto"/>
            </w:tcBorders>
          </w:tcPr>
          <w:p w:rsidR="00E20169" w:rsidRPr="00A816CE" w:rsidRDefault="00E20169" w:rsidP="00E6538B">
            <w:pPr>
              <w:jc w:val="left"/>
              <w:rPr>
                <w:rFonts w:ascii="宋体" w:eastAsia="宋体" w:hAnsi="宋体"/>
                <w:sz w:val="18"/>
                <w:szCs w:val="18"/>
              </w:rPr>
            </w:pPr>
            <w:r w:rsidRPr="00A816CE">
              <w:rPr>
                <w:rFonts w:ascii="宋体" w:eastAsia="宋体" w:hAnsi="宋体" w:hint="eastAsia"/>
                <w:sz w:val="18"/>
                <w:szCs w:val="18"/>
              </w:rPr>
              <w:t>数字信号处理</w:t>
            </w:r>
          </w:p>
        </w:tc>
        <w:tc>
          <w:tcPr>
            <w:tcW w:w="981" w:type="dxa"/>
            <w:vAlign w:val="center"/>
          </w:tcPr>
          <w:p w:rsidR="00E20169" w:rsidRPr="00A816CE" w:rsidRDefault="00E20169" w:rsidP="00397235">
            <w:pPr>
              <w:jc w:val="center"/>
              <w:rPr>
                <w:rFonts w:ascii="宋体" w:eastAsia="宋体" w:hAnsi="宋体"/>
                <w:sz w:val="18"/>
                <w:szCs w:val="18"/>
              </w:rPr>
            </w:pPr>
            <w:r w:rsidRPr="00A816CE">
              <w:rPr>
                <w:rFonts w:ascii="宋体" w:eastAsia="宋体" w:hAnsi="宋体" w:hint="eastAsia"/>
                <w:sz w:val="18"/>
                <w:szCs w:val="18"/>
              </w:rPr>
              <w:t>4</w:t>
            </w:r>
          </w:p>
        </w:tc>
      </w:tr>
      <w:tr w:rsidR="00E20169" w:rsidRPr="00A816CE" w:rsidTr="00017955">
        <w:trPr>
          <w:trHeight w:val="276"/>
          <w:jc w:val="center"/>
        </w:trPr>
        <w:tc>
          <w:tcPr>
            <w:tcW w:w="704" w:type="dxa"/>
            <w:vAlign w:val="center"/>
          </w:tcPr>
          <w:p w:rsidR="00E20169" w:rsidRPr="00A816CE" w:rsidRDefault="00E20169" w:rsidP="00E20169">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3</w:t>
            </w:r>
          </w:p>
        </w:tc>
        <w:tc>
          <w:tcPr>
            <w:tcW w:w="2409" w:type="dxa"/>
            <w:noWrap/>
            <w:hideMark/>
          </w:tcPr>
          <w:p w:rsidR="00E20169" w:rsidRPr="00A816CE" w:rsidRDefault="00E20169" w:rsidP="00E6538B">
            <w:pPr>
              <w:widowControl/>
              <w:jc w:val="left"/>
              <w:rPr>
                <w:rFonts w:ascii="宋体" w:eastAsia="宋体" w:hAnsi="宋体" w:cs="宋体"/>
                <w:kern w:val="0"/>
                <w:sz w:val="18"/>
                <w:szCs w:val="18"/>
              </w:rPr>
            </w:pPr>
            <w:r w:rsidRPr="00A816CE">
              <w:rPr>
                <w:rFonts w:ascii="宋体" w:eastAsia="宋体" w:hAnsi="宋体" w:cs="宋体" w:hint="eastAsia"/>
                <w:kern w:val="0"/>
                <w:sz w:val="18"/>
                <w:szCs w:val="18"/>
              </w:rPr>
              <w:t>智能建造导论</w:t>
            </w:r>
          </w:p>
        </w:tc>
        <w:tc>
          <w:tcPr>
            <w:tcW w:w="1134" w:type="dxa"/>
            <w:tcBorders>
              <w:right w:val="double" w:sz="4" w:space="0" w:color="auto"/>
            </w:tcBorders>
            <w:noWrap/>
            <w:vAlign w:val="center"/>
            <w:hideMark/>
          </w:tcPr>
          <w:p w:rsidR="00E20169" w:rsidRPr="00A816CE" w:rsidRDefault="00E20169" w:rsidP="00397235">
            <w:pPr>
              <w:widowControl/>
              <w:jc w:val="center"/>
              <w:rPr>
                <w:rFonts w:ascii="宋体" w:eastAsia="宋体" w:hAnsi="宋体" w:cs="宋体"/>
                <w:kern w:val="0"/>
                <w:sz w:val="18"/>
                <w:szCs w:val="18"/>
              </w:rPr>
            </w:pPr>
            <w:r w:rsidRPr="00A816CE">
              <w:rPr>
                <w:rFonts w:ascii="宋体" w:eastAsia="宋体" w:hAnsi="宋体" w:cs="宋体" w:hint="eastAsia"/>
                <w:kern w:val="0"/>
                <w:sz w:val="18"/>
                <w:szCs w:val="18"/>
              </w:rPr>
              <w:t>10</w:t>
            </w:r>
          </w:p>
        </w:tc>
        <w:tc>
          <w:tcPr>
            <w:tcW w:w="587" w:type="dxa"/>
            <w:tcBorders>
              <w:right w:val="single" w:sz="4" w:space="0" w:color="auto"/>
            </w:tcBorders>
            <w:vAlign w:val="center"/>
          </w:tcPr>
          <w:p w:rsidR="00E20169" w:rsidRPr="00A816CE" w:rsidRDefault="00E20169" w:rsidP="00E20169">
            <w:pPr>
              <w:jc w:val="center"/>
              <w:rPr>
                <w:rFonts w:ascii="宋体" w:eastAsia="宋体" w:hAnsi="宋体" w:hint="eastAsia"/>
                <w:sz w:val="18"/>
                <w:szCs w:val="18"/>
              </w:rPr>
            </w:pPr>
            <w:r>
              <w:rPr>
                <w:rFonts w:ascii="宋体" w:eastAsia="宋体" w:hAnsi="宋体" w:hint="eastAsia"/>
                <w:sz w:val="18"/>
                <w:szCs w:val="18"/>
              </w:rPr>
              <w:t>14</w:t>
            </w:r>
          </w:p>
        </w:tc>
        <w:tc>
          <w:tcPr>
            <w:tcW w:w="1854" w:type="dxa"/>
            <w:tcBorders>
              <w:left w:val="single" w:sz="4" w:space="0" w:color="auto"/>
            </w:tcBorders>
          </w:tcPr>
          <w:p w:rsidR="00E20169" w:rsidRPr="00A816CE" w:rsidRDefault="00E20169" w:rsidP="00E6538B">
            <w:pPr>
              <w:jc w:val="left"/>
              <w:rPr>
                <w:rFonts w:ascii="宋体" w:eastAsia="宋体" w:hAnsi="宋体"/>
                <w:sz w:val="18"/>
                <w:szCs w:val="18"/>
              </w:rPr>
            </w:pPr>
            <w:r w:rsidRPr="00A816CE">
              <w:rPr>
                <w:rFonts w:ascii="宋体" w:eastAsia="宋体" w:hAnsi="宋体" w:hint="eastAsia"/>
                <w:sz w:val="18"/>
                <w:szCs w:val="18"/>
              </w:rPr>
              <w:t>建筑机械</w:t>
            </w:r>
          </w:p>
        </w:tc>
        <w:tc>
          <w:tcPr>
            <w:tcW w:w="981" w:type="dxa"/>
            <w:vAlign w:val="center"/>
          </w:tcPr>
          <w:p w:rsidR="00E20169" w:rsidRPr="00A816CE" w:rsidRDefault="00E20169" w:rsidP="00397235">
            <w:pPr>
              <w:jc w:val="center"/>
              <w:rPr>
                <w:rFonts w:ascii="宋体" w:eastAsia="宋体" w:hAnsi="宋体"/>
                <w:sz w:val="18"/>
                <w:szCs w:val="18"/>
              </w:rPr>
            </w:pPr>
            <w:r w:rsidRPr="00A816CE">
              <w:rPr>
                <w:rFonts w:ascii="宋体" w:eastAsia="宋体" w:hAnsi="宋体" w:hint="eastAsia"/>
                <w:sz w:val="18"/>
                <w:szCs w:val="18"/>
              </w:rPr>
              <w:t>4</w:t>
            </w:r>
          </w:p>
        </w:tc>
      </w:tr>
      <w:tr w:rsidR="00E20169" w:rsidRPr="00A816CE" w:rsidTr="00017955">
        <w:trPr>
          <w:trHeight w:val="276"/>
          <w:jc w:val="center"/>
        </w:trPr>
        <w:tc>
          <w:tcPr>
            <w:tcW w:w="704" w:type="dxa"/>
            <w:vAlign w:val="center"/>
          </w:tcPr>
          <w:p w:rsidR="00E20169" w:rsidRPr="00A816CE" w:rsidRDefault="00E20169" w:rsidP="00E20169">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4</w:t>
            </w:r>
          </w:p>
        </w:tc>
        <w:tc>
          <w:tcPr>
            <w:tcW w:w="2409" w:type="dxa"/>
            <w:noWrap/>
            <w:hideMark/>
          </w:tcPr>
          <w:p w:rsidR="00E20169" w:rsidRPr="00A816CE" w:rsidRDefault="00E20169" w:rsidP="00E6538B">
            <w:pPr>
              <w:widowControl/>
              <w:jc w:val="left"/>
              <w:rPr>
                <w:rFonts w:ascii="宋体" w:eastAsia="宋体" w:hAnsi="宋体" w:cs="宋体"/>
                <w:kern w:val="0"/>
                <w:sz w:val="18"/>
                <w:szCs w:val="18"/>
              </w:rPr>
            </w:pPr>
            <w:r w:rsidRPr="00A816CE">
              <w:rPr>
                <w:rFonts w:ascii="宋体" w:eastAsia="宋体" w:hAnsi="宋体" w:cs="宋体" w:hint="eastAsia"/>
                <w:kern w:val="0"/>
                <w:sz w:val="18"/>
                <w:szCs w:val="18"/>
              </w:rPr>
              <w:t>智能机械与机器人</w:t>
            </w:r>
          </w:p>
        </w:tc>
        <w:tc>
          <w:tcPr>
            <w:tcW w:w="1134" w:type="dxa"/>
            <w:tcBorders>
              <w:right w:val="double" w:sz="4" w:space="0" w:color="auto"/>
            </w:tcBorders>
            <w:noWrap/>
            <w:vAlign w:val="center"/>
            <w:hideMark/>
          </w:tcPr>
          <w:p w:rsidR="00E20169" w:rsidRPr="00A816CE" w:rsidRDefault="00E20169" w:rsidP="00397235">
            <w:pPr>
              <w:widowControl/>
              <w:jc w:val="center"/>
              <w:rPr>
                <w:rFonts w:ascii="宋体" w:eastAsia="宋体" w:hAnsi="宋体" w:cs="宋体"/>
                <w:kern w:val="0"/>
                <w:sz w:val="18"/>
                <w:szCs w:val="18"/>
              </w:rPr>
            </w:pPr>
            <w:r w:rsidRPr="00A816CE">
              <w:rPr>
                <w:rFonts w:ascii="宋体" w:eastAsia="宋体" w:hAnsi="宋体" w:cs="宋体" w:hint="eastAsia"/>
                <w:kern w:val="0"/>
                <w:sz w:val="18"/>
                <w:szCs w:val="18"/>
              </w:rPr>
              <w:t>10</w:t>
            </w:r>
          </w:p>
        </w:tc>
        <w:tc>
          <w:tcPr>
            <w:tcW w:w="587" w:type="dxa"/>
            <w:tcBorders>
              <w:right w:val="single" w:sz="4" w:space="0" w:color="auto"/>
            </w:tcBorders>
            <w:vAlign w:val="center"/>
          </w:tcPr>
          <w:p w:rsidR="00E20169" w:rsidRPr="00A816CE" w:rsidRDefault="00E20169" w:rsidP="00E20169">
            <w:pPr>
              <w:jc w:val="center"/>
              <w:rPr>
                <w:rFonts w:ascii="宋体" w:eastAsia="宋体" w:hAnsi="宋体" w:hint="eastAsia"/>
                <w:sz w:val="18"/>
                <w:szCs w:val="18"/>
              </w:rPr>
            </w:pPr>
            <w:r>
              <w:rPr>
                <w:rFonts w:ascii="宋体" w:eastAsia="宋体" w:hAnsi="宋体" w:hint="eastAsia"/>
                <w:sz w:val="18"/>
                <w:szCs w:val="18"/>
              </w:rPr>
              <w:t>15</w:t>
            </w:r>
          </w:p>
        </w:tc>
        <w:tc>
          <w:tcPr>
            <w:tcW w:w="1854" w:type="dxa"/>
            <w:tcBorders>
              <w:left w:val="single" w:sz="4" w:space="0" w:color="auto"/>
            </w:tcBorders>
          </w:tcPr>
          <w:p w:rsidR="00E20169" w:rsidRPr="00A816CE" w:rsidRDefault="00E20169" w:rsidP="00E6538B">
            <w:pPr>
              <w:jc w:val="left"/>
              <w:rPr>
                <w:rFonts w:ascii="宋体" w:eastAsia="宋体" w:hAnsi="宋体"/>
                <w:sz w:val="18"/>
                <w:szCs w:val="18"/>
              </w:rPr>
            </w:pPr>
            <w:r w:rsidRPr="00A816CE">
              <w:rPr>
                <w:rFonts w:ascii="宋体" w:eastAsia="宋体" w:hAnsi="宋体" w:hint="eastAsia"/>
                <w:sz w:val="18"/>
                <w:szCs w:val="18"/>
              </w:rPr>
              <w:t>软件工程</w:t>
            </w:r>
          </w:p>
        </w:tc>
        <w:tc>
          <w:tcPr>
            <w:tcW w:w="981" w:type="dxa"/>
            <w:vAlign w:val="center"/>
          </w:tcPr>
          <w:p w:rsidR="00E20169" w:rsidRPr="00A816CE" w:rsidRDefault="00E20169" w:rsidP="00397235">
            <w:pPr>
              <w:jc w:val="center"/>
              <w:rPr>
                <w:rFonts w:ascii="宋体" w:eastAsia="宋体" w:hAnsi="宋体"/>
                <w:sz w:val="18"/>
                <w:szCs w:val="18"/>
              </w:rPr>
            </w:pPr>
            <w:r w:rsidRPr="00A816CE">
              <w:rPr>
                <w:rFonts w:ascii="宋体" w:eastAsia="宋体" w:hAnsi="宋体" w:hint="eastAsia"/>
                <w:sz w:val="18"/>
                <w:szCs w:val="18"/>
              </w:rPr>
              <w:t>3</w:t>
            </w:r>
          </w:p>
        </w:tc>
      </w:tr>
      <w:tr w:rsidR="00E20169" w:rsidRPr="00A816CE" w:rsidTr="00017955">
        <w:trPr>
          <w:trHeight w:val="276"/>
          <w:jc w:val="center"/>
        </w:trPr>
        <w:tc>
          <w:tcPr>
            <w:tcW w:w="704" w:type="dxa"/>
            <w:vAlign w:val="center"/>
          </w:tcPr>
          <w:p w:rsidR="00E20169" w:rsidRPr="00A816CE" w:rsidRDefault="00E20169" w:rsidP="00E20169">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5</w:t>
            </w:r>
          </w:p>
        </w:tc>
        <w:tc>
          <w:tcPr>
            <w:tcW w:w="2409" w:type="dxa"/>
            <w:noWrap/>
            <w:hideMark/>
          </w:tcPr>
          <w:p w:rsidR="00E20169" w:rsidRPr="00A816CE" w:rsidRDefault="00E20169" w:rsidP="0092516D">
            <w:pPr>
              <w:widowControl/>
              <w:jc w:val="left"/>
              <w:rPr>
                <w:rFonts w:ascii="宋体" w:eastAsia="宋体" w:hAnsi="宋体" w:cs="宋体"/>
                <w:kern w:val="0"/>
                <w:sz w:val="18"/>
                <w:szCs w:val="18"/>
              </w:rPr>
            </w:pPr>
            <w:r w:rsidRPr="00A816CE">
              <w:rPr>
                <w:rFonts w:ascii="宋体" w:eastAsia="宋体" w:hAnsi="宋体" w:cs="宋体" w:hint="eastAsia"/>
                <w:kern w:val="0"/>
                <w:sz w:val="18"/>
                <w:szCs w:val="18"/>
              </w:rPr>
              <w:t>Python程序设计</w:t>
            </w:r>
          </w:p>
        </w:tc>
        <w:tc>
          <w:tcPr>
            <w:tcW w:w="1134" w:type="dxa"/>
            <w:tcBorders>
              <w:right w:val="double" w:sz="4" w:space="0" w:color="auto"/>
            </w:tcBorders>
            <w:noWrap/>
            <w:vAlign w:val="center"/>
            <w:hideMark/>
          </w:tcPr>
          <w:p w:rsidR="00E20169" w:rsidRPr="00A816CE" w:rsidRDefault="00E20169" w:rsidP="00397235">
            <w:pPr>
              <w:widowControl/>
              <w:jc w:val="center"/>
              <w:rPr>
                <w:rFonts w:ascii="宋体" w:eastAsia="宋体" w:hAnsi="宋体" w:cs="宋体"/>
                <w:kern w:val="0"/>
                <w:sz w:val="18"/>
                <w:szCs w:val="18"/>
              </w:rPr>
            </w:pPr>
            <w:r w:rsidRPr="00A816CE">
              <w:rPr>
                <w:rFonts w:ascii="宋体" w:eastAsia="宋体" w:hAnsi="宋体" w:cs="宋体" w:hint="eastAsia"/>
                <w:kern w:val="0"/>
                <w:sz w:val="18"/>
                <w:szCs w:val="18"/>
              </w:rPr>
              <w:t>10</w:t>
            </w:r>
          </w:p>
        </w:tc>
        <w:tc>
          <w:tcPr>
            <w:tcW w:w="587" w:type="dxa"/>
            <w:tcBorders>
              <w:right w:val="single" w:sz="4" w:space="0" w:color="auto"/>
            </w:tcBorders>
            <w:vAlign w:val="center"/>
          </w:tcPr>
          <w:p w:rsidR="00E20169" w:rsidRPr="00A816CE" w:rsidRDefault="00E20169" w:rsidP="00E20169">
            <w:pPr>
              <w:jc w:val="center"/>
              <w:rPr>
                <w:rFonts w:ascii="宋体" w:eastAsia="宋体" w:hAnsi="宋体" w:hint="eastAsia"/>
                <w:sz w:val="18"/>
                <w:szCs w:val="18"/>
              </w:rPr>
            </w:pPr>
            <w:r>
              <w:rPr>
                <w:rFonts w:ascii="宋体" w:eastAsia="宋体" w:hAnsi="宋体" w:hint="eastAsia"/>
                <w:sz w:val="18"/>
                <w:szCs w:val="18"/>
              </w:rPr>
              <w:t>16</w:t>
            </w:r>
          </w:p>
        </w:tc>
        <w:tc>
          <w:tcPr>
            <w:tcW w:w="1854" w:type="dxa"/>
            <w:tcBorders>
              <w:left w:val="single" w:sz="4" w:space="0" w:color="auto"/>
            </w:tcBorders>
          </w:tcPr>
          <w:p w:rsidR="00E20169" w:rsidRPr="00A816CE" w:rsidRDefault="00E20169" w:rsidP="00E6538B">
            <w:pPr>
              <w:jc w:val="left"/>
              <w:rPr>
                <w:rFonts w:ascii="宋体" w:eastAsia="宋体" w:hAnsi="宋体"/>
                <w:sz w:val="18"/>
                <w:szCs w:val="18"/>
              </w:rPr>
            </w:pPr>
            <w:r w:rsidRPr="00A816CE">
              <w:rPr>
                <w:rFonts w:ascii="宋体" w:eastAsia="宋体" w:hAnsi="宋体" w:hint="eastAsia"/>
                <w:sz w:val="18"/>
                <w:szCs w:val="18"/>
              </w:rPr>
              <w:t>机器人工程</w:t>
            </w:r>
          </w:p>
        </w:tc>
        <w:tc>
          <w:tcPr>
            <w:tcW w:w="981" w:type="dxa"/>
            <w:vAlign w:val="center"/>
          </w:tcPr>
          <w:p w:rsidR="00E20169" w:rsidRPr="00A816CE" w:rsidRDefault="00E20169" w:rsidP="00397235">
            <w:pPr>
              <w:jc w:val="center"/>
              <w:rPr>
                <w:rFonts w:ascii="宋体" w:eastAsia="宋体" w:hAnsi="宋体"/>
                <w:sz w:val="18"/>
                <w:szCs w:val="18"/>
              </w:rPr>
            </w:pPr>
            <w:r w:rsidRPr="00A816CE">
              <w:rPr>
                <w:rFonts w:ascii="宋体" w:eastAsia="宋体" w:hAnsi="宋体" w:hint="eastAsia"/>
                <w:sz w:val="18"/>
                <w:szCs w:val="18"/>
              </w:rPr>
              <w:t>3</w:t>
            </w:r>
          </w:p>
        </w:tc>
      </w:tr>
      <w:tr w:rsidR="00E20169" w:rsidRPr="00A816CE" w:rsidTr="00017955">
        <w:trPr>
          <w:trHeight w:val="276"/>
          <w:jc w:val="center"/>
        </w:trPr>
        <w:tc>
          <w:tcPr>
            <w:tcW w:w="704" w:type="dxa"/>
            <w:vAlign w:val="center"/>
          </w:tcPr>
          <w:p w:rsidR="00E20169" w:rsidRPr="00A816CE" w:rsidRDefault="00E20169" w:rsidP="00E20169">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6</w:t>
            </w:r>
          </w:p>
        </w:tc>
        <w:tc>
          <w:tcPr>
            <w:tcW w:w="2409" w:type="dxa"/>
            <w:noWrap/>
            <w:hideMark/>
          </w:tcPr>
          <w:p w:rsidR="00E20169" w:rsidRPr="00A816CE" w:rsidRDefault="00E20169" w:rsidP="00E6538B">
            <w:pPr>
              <w:widowControl/>
              <w:jc w:val="left"/>
              <w:rPr>
                <w:rFonts w:ascii="宋体" w:eastAsia="宋体" w:hAnsi="宋体" w:cs="宋体"/>
                <w:kern w:val="0"/>
                <w:sz w:val="18"/>
                <w:szCs w:val="18"/>
              </w:rPr>
            </w:pPr>
            <w:r w:rsidRPr="00A816CE">
              <w:rPr>
                <w:rFonts w:ascii="宋体" w:eastAsia="宋体" w:hAnsi="宋体" w:cs="宋体" w:hint="eastAsia"/>
                <w:kern w:val="0"/>
                <w:sz w:val="18"/>
                <w:szCs w:val="18"/>
              </w:rPr>
              <w:t>运筹学</w:t>
            </w:r>
          </w:p>
        </w:tc>
        <w:tc>
          <w:tcPr>
            <w:tcW w:w="1134" w:type="dxa"/>
            <w:tcBorders>
              <w:right w:val="double" w:sz="4" w:space="0" w:color="auto"/>
            </w:tcBorders>
            <w:noWrap/>
            <w:vAlign w:val="center"/>
            <w:hideMark/>
          </w:tcPr>
          <w:p w:rsidR="00E20169" w:rsidRPr="00A816CE" w:rsidRDefault="00E20169" w:rsidP="00397235">
            <w:pPr>
              <w:widowControl/>
              <w:jc w:val="center"/>
              <w:rPr>
                <w:rFonts w:ascii="宋体" w:eastAsia="宋体" w:hAnsi="宋体" w:cs="宋体"/>
                <w:kern w:val="0"/>
                <w:sz w:val="18"/>
                <w:szCs w:val="18"/>
              </w:rPr>
            </w:pPr>
            <w:r w:rsidRPr="00A816CE">
              <w:rPr>
                <w:rFonts w:ascii="宋体" w:eastAsia="宋体" w:hAnsi="宋体" w:cs="宋体" w:hint="eastAsia"/>
                <w:kern w:val="0"/>
                <w:sz w:val="18"/>
                <w:szCs w:val="18"/>
              </w:rPr>
              <w:t>9</w:t>
            </w:r>
          </w:p>
        </w:tc>
        <w:tc>
          <w:tcPr>
            <w:tcW w:w="587" w:type="dxa"/>
            <w:tcBorders>
              <w:right w:val="single" w:sz="4" w:space="0" w:color="auto"/>
            </w:tcBorders>
            <w:vAlign w:val="center"/>
          </w:tcPr>
          <w:p w:rsidR="00E20169" w:rsidRPr="00A816CE" w:rsidRDefault="00E20169" w:rsidP="00E20169">
            <w:pPr>
              <w:jc w:val="center"/>
              <w:rPr>
                <w:rFonts w:ascii="宋体" w:eastAsia="宋体" w:hAnsi="宋体" w:hint="eastAsia"/>
                <w:sz w:val="18"/>
                <w:szCs w:val="18"/>
              </w:rPr>
            </w:pPr>
            <w:r>
              <w:rPr>
                <w:rFonts w:ascii="宋体" w:eastAsia="宋体" w:hAnsi="宋体" w:hint="eastAsia"/>
                <w:sz w:val="18"/>
                <w:szCs w:val="18"/>
              </w:rPr>
              <w:t>17</w:t>
            </w:r>
          </w:p>
        </w:tc>
        <w:tc>
          <w:tcPr>
            <w:tcW w:w="1854" w:type="dxa"/>
            <w:tcBorders>
              <w:left w:val="single" w:sz="4" w:space="0" w:color="auto"/>
            </w:tcBorders>
          </w:tcPr>
          <w:p w:rsidR="00E20169" w:rsidRPr="00A816CE" w:rsidRDefault="00E20169" w:rsidP="00E6538B">
            <w:pPr>
              <w:jc w:val="left"/>
              <w:rPr>
                <w:rFonts w:ascii="宋体" w:eastAsia="宋体" w:hAnsi="宋体"/>
                <w:sz w:val="18"/>
                <w:szCs w:val="18"/>
              </w:rPr>
            </w:pPr>
            <w:r w:rsidRPr="00A816CE">
              <w:rPr>
                <w:rFonts w:ascii="宋体" w:eastAsia="宋体" w:hAnsi="宋体" w:hint="eastAsia"/>
                <w:sz w:val="18"/>
                <w:szCs w:val="18"/>
              </w:rPr>
              <w:t>管理学原理</w:t>
            </w:r>
          </w:p>
        </w:tc>
        <w:tc>
          <w:tcPr>
            <w:tcW w:w="981" w:type="dxa"/>
            <w:vAlign w:val="center"/>
          </w:tcPr>
          <w:p w:rsidR="00E20169" w:rsidRPr="00A816CE" w:rsidRDefault="00E20169" w:rsidP="00397235">
            <w:pPr>
              <w:jc w:val="center"/>
              <w:rPr>
                <w:rFonts w:ascii="宋体" w:eastAsia="宋体" w:hAnsi="宋体"/>
                <w:sz w:val="18"/>
                <w:szCs w:val="18"/>
              </w:rPr>
            </w:pPr>
            <w:r w:rsidRPr="00A816CE">
              <w:rPr>
                <w:rFonts w:ascii="宋体" w:eastAsia="宋体" w:hAnsi="宋体" w:hint="eastAsia"/>
                <w:sz w:val="18"/>
                <w:szCs w:val="18"/>
              </w:rPr>
              <w:t>3</w:t>
            </w:r>
          </w:p>
        </w:tc>
      </w:tr>
      <w:tr w:rsidR="00E20169" w:rsidRPr="00A816CE" w:rsidTr="00017955">
        <w:trPr>
          <w:trHeight w:val="276"/>
          <w:jc w:val="center"/>
        </w:trPr>
        <w:tc>
          <w:tcPr>
            <w:tcW w:w="704" w:type="dxa"/>
            <w:vAlign w:val="center"/>
          </w:tcPr>
          <w:p w:rsidR="00E20169" w:rsidRPr="00A816CE" w:rsidRDefault="00E20169" w:rsidP="00E20169">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7</w:t>
            </w:r>
          </w:p>
        </w:tc>
        <w:tc>
          <w:tcPr>
            <w:tcW w:w="2409" w:type="dxa"/>
            <w:noWrap/>
            <w:hideMark/>
          </w:tcPr>
          <w:p w:rsidR="00E20169" w:rsidRPr="00A816CE" w:rsidRDefault="00E20169" w:rsidP="00E6538B">
            <w:pPr>
              <w:widowControl/>
              <w:jc w:val="left"/>
              <w:rPr>
                <w:rFonts w:ascii="宋体" w:eastAsia="宋体" w:hAnsi="宋体" w:cs="宋体"/>
                <w:kern w:val="0"/>
                <w:sz w:val="18"/>
                <w:szCs w:val="18"/>
              </w:rPr>
            </w:pPr>
            <w:r w:rsidRPr="00A816CE">
              <w:rPr>
                <w:rFonts w:ascii="宋体" w:eastAsia="宋体" w:hAnsi="宋体" w:cs="宋体" w:hint="eastAsia"/>
                <w:kern w:val="0"/>
                <w:sz w:val="18"/>
                <w:szCs w:val="18"/>
              </w:rPr>
              <w:t>自动控制原理</w:t>
            </w:r>
          </w:p>
        </w:tc>
        <w:tc>
          <w:tcPr>
            <w:tcW w:w="1134" w:type="dxa"/>
            <w:tcBorders>
              <w:right w:val="double" w:sz="4" w:space="0" w:color="auto"/>
            </w:tcBorders>
            <w:noWrap/>
            <w:vAlign w:val="center"/>
            <w:hideMark/>
          </w:tcPr>
          <w:p w:rsidR="00E20169" w:rsidRPr="00A816CE" w:rsidRDefault="00E20169" w:rsidP="00397235">
            <w:pPr>
              <w:widowControl/>
              <w:jc w:val="center"/>
              <w:rPr>
                <w:rFonts w:ascii="宋体" w:eastAsia="宋体" w:hAnsi="宋体" w:cs="宋体"/>
                <w:kern w:val="0"/>
                <w:sz w:val="18"/>
                <w:szCs w:val="18"/>
              </w:rPr>
            </w:pPr>
            <w:r w:rsidRPr="00A816CE">
              <w:rPr>
                <w:rFonts w:ascii="宋体" w:eastAsia="宋体" w:hAnsi="宋体" w:cs="宋体" w:hint="eastAsia"/>
                <w:kern w:val="0"/>
                <w:sz w:val="18"/>
                <w:szCs w:val="18"/>
              </w:rPr>
              <w:t>8</w:t>
            </w:r>
          </w:p>
        </w:tc>
        <w:tc>
          <w:tcPr>
            <w:tcW w:w="587" w:type="dxa"/>
            <w:tcBorders>
              <w:right w:val="single" w:sz="4" w:space="0" w:color="auto"/>
            </w:tcBorders>
            <w:vAlign w:val="center"/>
          </w:tcPr>
          <w:p w:rsidR="00E20169" w:rsidRPr="00A816CE" w:rsidRDefault="00E20169" w:rsidP="00E20169">
            <w:pPr>
              <w:jc w:val="center"/>
              <w:rPr>
                <w:rFonts w:ascii="宋体" w:eastAsia="宋体" w:hAnsi="宋体" w:hint="eastAsia"/>
                <w:sz w:val="18"/>
                <w:szCs w:val="18"/>
              </w:rPr>
            </w:pPr>
            <w:r>
              <w:rPr>
                <w:rFonts w:ascii="宋体" w:eastAsia="宋体" w:hAnsi="宋体" w:hint="eastAsia"/>
                <w:sz w:val="18"/>
                <w:szCs w:val="18"/>
              </w:rPr>
              <w:t>18</w:t>
            </w:r>
          </w:p>
        </w:tc>
        <w:tc>
          <w:tcPr>
            <w:tcW w:w="1854" w:type="dxa"/>
            <w:tcBorders>
              <w:left w:val="single" w:sz="4" w:space="0" w:color="auto"/>
            </w:tcBorders>
          </w:tcPr>
          <w:p w:rsidR="00E20169" w:rsidRPr="00A816CE" w:rsidRDefault="00E20169" w:rsidP="00E6538B">
            <w:pPr>
              <w:jc w:val="left"/>
              <w:rPr>
                <w:rFonts w:ascii="宋体" w:eastAsia="宋体" w:hAnsi="宋体"/>
                <w:sz w:val="18"/>
                <w:szCs w:val="18"/>
              </w:rPr>
            </w:pPr>
            <w:r w:rsidRPr="00A816CE">
              <w:rPr>
                <w:rFonts w:ascii="宋体" w:eastAsia="宋体" w:hAnsi="宋体" w:hint="eastAsia"/>
                <w:sz w:val="18"/>
                <w:szCs w:val="18"/>
              </w:rPr>
              <w:t>工程结构全寿命维护</w:t>
            </w:r>
          </w:p>
        </w:tc>
        <w:tc>
          <w:tcPr>
            <w:tcW w:w="981" w:type="dxa"/>
            <w:vAlign w:val="center"/>
          </w:tcPr>
          <w:p w:rsidR="00E20169" w:rsidRPr="00A816CE" w:rsidRDefault="00E20169" w:rsidP="00397235">
            <w:pPr>
              <w:jc w:val="center"/>
              <w:rPr>
                <w:rFonts w:ascii="宋体" w:eastAsia="宋体" w:hAnsi="宋体"/>
                <w:sz w:val="18"/>
                <w:szCs w:val="18"/>
              </w:rPr>
            </w:pPr>
            <w:r w:rsidRPr="00A816CE">
              <w:rPr>
                <w:rFonts w:ascii="宋体" w:eastAsia="宋体" w:hAnsi="宋体" w:hint="eastAsia"/>
                <w:sz w:val="18"/>
                <w:szCs w:val="18"/>
              </w:rPr>
              <w:t>3</w:t>
            </w:r>
          </w:p>
        </w:tc>
      </w:tr>
      <w:tr w:rsidR="00E20169" w:rsidRPr="00A816CE" w:rsidTr="00017955">
        <w:trPr>
          <w:trHeight w:val="276"/>
          <w:jc w:val="center"/>
        </w:trPr>
        <w:tc>
          <w:tcPr>
            <w:tcW w:w="704" w:type="dxa"/>
            <w:vAlign w:val="center"/>
          </w:tcPr>
          <w:p w:rsidR="00E20169" w:rsidRPr="00A816CE" w:rsidRDefault="00E20169" w:rsidP="00E20169">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8</w:t>
            </w:r>
          </w:p>
        </w:tc>
        <w:tc>
          <w:tcPr>
            <w:tcW w:w="2409" w:type="dxa"/>
            <w:noWrap/>
            <w:hideMark/>
          </w:tcPr>
          <w:p w:rsidR="00E20169" w:rsidRPr="00A816CE" w:rsidRDefault="00E20169" w:rsidP="00E6538B">
            <w:pPr>
              <w:widowControl/>
              <w:jc w:val="left"/>
              <w:rPr>
                <w:rFonts w:ascii="宋体" w:eastAsia="宋体" w:hAnsi="宋体" w:cs="宋体"/>
                <w:kern w:val="0"/>
                <w:sz w:val="18"/>
                <w:szCs w:val="18"/>
              </w:rPr>
            </w:pPr>
            <w:r w:rsidRPr="00A816CE">
              <w:rPr>
                <w:rFonts w:ascii="宋体" w:eastAsia="宋体" w:hAnsi="宋体" w:cs="宋体" w:hint="eastAsia"/>
                <w:kern w:val="0"/>
                <w:sz w:val="18"/>
                <w:szCs w:val="18"/>
              </w:rPr>
              <w:t>数据库原理与应用</w:t>
            </w:r>
          </w:p>
        </w:tc>
        <w:tc>
          <w:tcPr>
            <w:tcW w:w="1134" w:type="dxa"/>
            <w:tcBorders>
              <w:right w:val="double" w:sz="4" w:space="0" w:color="auto"/>
            </w:tcBorders>
            <w:noWrap/>
            <w:vAlign w:val="center"/>
            <w:hideMark/>
          </w:tcPr>
          <w:p w:rsidR="00E20169" w:rsidRPr="00A816CE" w:rsidRDefault="00E20169" w:rsidP="00397235">
            <w:pPr>
              <w:widowControl/>
              <w:jc w:val="center"/>
              <w:rPr>
                <w:rFonts w:ascii="宋体" w:eastAsia="宋体" w:hAnsi="宋体" w:cs="宋体"/>
                <w:kern w:val="0"/>
                <w:sz w:val="18"/>
                <w:szCs w:val="18"/>
              </w:rPr>
            </w:pPr>
            <w:r w:rsidRPr="00A816CE">
              <w:rPr>
                <w:rFonts w:ascii="宋体" w:eastAsia="宋体" w:hAnsi="宋体" w:cs="宋体" w:hint="eastAsia"/>
                <w:kern w:val="0"/>
                <w:sz w:val="18"/>
                <w:szCs w:val="18"/>
              </w:rPr>
              <w:t>8</w:t>
            </w:r>
          </w:p>
        </w:tc>
        <w:tc>
          <w:tcPr>
            <w:tcW w:w="587" w:type="dxa"/>
            <w:tcBorders>
              <w:right w:val="single" w:sz="4" w:space="0" w:color="auto"/>
            </w:tcBorders>
            <w:vAlign w:val="center"/>
          </w:tcPr>
          <w:p w:rsidR="00E20169" w:rsidRPr="00A816CE" w:rsidRDefault="00E20169" w:rsidP="00E20169">
            <w:pPr>
              <w:jc w:val="center"/>
              <w:rPr>
                <w:rFonts w:ascii="宋体" w:eastAsia="宋体" w:hAnsi="宋体" w:hint="eastAsia"/>
                <w:sz w:val="18"/>
                <w:szCs w:val="18"/>
              </w:rPr>
            </w:pPr>
            <w:r>
              <w:rPr>
                <w:rFonts w:ascii="宋体" w:eastAsia="宋体" w:hAnsi="宋体" w:hint="eastAsia"/>
                <w:sz w:val="18"/>
                <w:szCs w:val="18"/>
              </w:rPr>
              <w:t>19</w:t>
            </w:r>
          </w:p>
        </w:tc>
        <w:tc>
          <w:tcPr>
            <w:tcW w:w="1854" w:type="dxa"/>
            <w:tcBorders>
              <w:left w:val="single" w:sz="4" w:space="0" w:color="auto"/>
            </w:tcBorders>
          </w:tcPr>
          <w:p w:rsidR="00E20169" w:rsidRPr="00A816CE" w:rsidRDefault="00E20169" w:rsidP="00E6538B">
            <w:pPr>
              <w:jc w:val="left"/>
              <w:rPr>
                <w:rFonts w:ascii="宋体" w:eastAsia="宋体" w:hAnsi="宋体"/>
                <w:sz w:val="18"/>
                <w:szCs w:val="18"/>
              </w:rPr>
            </w:pPr>
            <w:r w:rsidRPr="00A816CE">
              <w:rPr>
                <w:rFonts w:ascii="宋体" w:eastAsia="宋体" w:hAnsi="宋体" w:hint="eastAsia"/>
                <w:sz w:val="18"/>
                <w:szCs w:val="18"/>
              </w:rPr>
              <w:t>电子电路</w:t>
            </w:r>
          </w:p>
        </w:tc>
        <w:tc>
          <w:tcPr>
            <w:tcW w:w="981" w:type="dxa"/>
            <w:vAlign w:val="center"/>
          </w:tcPr>
          <w:p w:rsidR="00E20169" w:rsidRPr="00A816CE" w:rsidRDefault="00E20169" w:rsidP="00397235">
            <w:pPr>
              <w:jc w:val="center"/>
              <w:rPr>
                <w:rFonts w:ascii="宋体" w:eastAsia="宋体" w:hAnsi="宋体"/>
                <w:sz w:val="18"/>
                <w:szCs w:val="18"/>
              </w:rPr>
            </w:pPr>
            <w:r w:rsidRPr="00A816CE">
              <w:rPr>
                <w:rFonts w:ascii="宋体" w:eastAsia="宋体" w:hAnsi="宋体" w:hint="eastAsia"/>
                <w:sz w:val="18"/>
                <w:szCs w:val="18"/>
              </w:rPr>
              <w:t>3</w:t>
            </w:r>
          </w:p>
        </w:tc>
      </w:tr>
      <w:tr w:rsidR="00E20169" w:rsidRPr="00A816CE" w:rsidTr="00017955">
        <w:trPr>
          <w:trHeight w:val="276"/>
          <w:jc w:val="center"/>
        </w:trPr>
        <w:tc>
          <w:tcPr>
            <w:tcW w:w="704" w:type="dxa"/>
            <w:vAlign w:val="center"/>
          </w:tcPr>
          <w:p w:rsidR="00E20169" w:rsidRPr="00A816CE" w:rsidRDefault="00E20169" w:rsidP="00E20169">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9</w:t>
            </w:r>
          </w:p>
        </w:tc>
        <w:tc>
          <w:tcPr>
            <w:tcW w:w="2409" w:type="dxa"/>
            <w:noWrap/>
            <w:hideMark/>
          </w:tcPr>
          <w:p w:rsidR="00E20169" w:rsidRPr="00A816CE" w:rsidRDefault="00E20169" w:rsidP="00E6538B">
            <w:pPr>
              <w:widowControl/>
              <w:jc w:val="left"/>
              <w:rPr>
                <w:rFonts w:ascii="宋体" w:eastAsia="宋体" w:hAnsi="宋体" w:cs="宋体"/>
                <w:kern w:val="0"/>
                <w:sz w:val="18"/>
                <w:szCs w:val="18"/>
              </w:rPr>
            </w:pPr>
            <w:r w:rsidRPr="00A816CE">
              <w:rPr>
                <w:rFonts w:ascii="宋体" w:eastAsia="宋体" w:hAnsi="宋体" w:cs="宋体" w:hint="eastAsia"/>
                <w:kern w:val="0"/>
                <w:sz w:val="18"/>
                <w:szCs w:val="18"/>
              </w:rPr>
              <w:t>机械设计原理</w:t>
            </w:r>
          </w:p>
        </w:tc>
        <w:tc>
          <w:tcPr>
            <w:tcW w:w="1134" w:type="dxa"/>
            <w:tcBorders>
              <w:right w:val="double" w:sz="4" w:space="0" w:color="auto"/>
            </w:tcBorders>
            <w:noWrap/>
            <w:vAlign w:val="center"/>
            <w:hideMark/>
          </w:tcPr>
          <w:p w:rsidR="00E20169" w:rsidRPr="00A816CE" w:rsidRDefault="00E20169" w:rsidP="00397235">
            <w:pPr>
              <w:widowControl/>
              <w:jc w:val="center"/>
              <w:rPr>
                <w:rFonts w:ascii="宋体" w:eastAsia="宋体" w:hAnsi="宋体" w:cs="宋体"/>
                <w:kern w:val="0"/>
                <w:sz w:val="18"/>
                <w:szCs w:val="18"/>
              </w:rPr>
            </w:pPr>
            <w:r w:rsidRPr="00A816CE">
              <w:rPr>
                <w:rFonts w:ascii="宋体" w:eastAsia="宋体" w:hAnsi="宋体" w:cs="宋体" w:hint="eastAsia"/>
                <w:kern w:val="0"/>
                <w:sz w:val="18"/>
                <w:szCs w:val="18"/>
              </w:rPr>
              <w:t>8</w:t>
            </w:r>
          </w:p>
        </w:tc>
        <w:tc>
          <w:tcPr>
            <w:tcW w:w="587" w:type="dxa"/>
            <w:tcBorders>
              <w:right w:val="single" w:sz="4" w:space="0" w:color="auto"/>
            </w:tcBorders>
            <w:vAlign w:val="center"/>
          </w:tcPr>
          <w:p w:rsidR="00E20169" w:rsidRPr="00A816CE" w:rsidRDefault="00E20169" w:rsidP="00E20169">
            <w:pPr>
              <w:jc w:val="center"/>
              <w:rPr>
                <w:rFonts w:ascii="宋体" w:eastAsia="宋体" w:hAnsi="宋体" w:hint="eastAsia"/>
                <w:sz w:val="18"/>
                <w:szCs w:val="18"/>
              </w:rPr>
            </w:pPr>
            <w:r>
              <w:rPr>
                <w:rFonts w:ascii="宋体" w:eastAsia="宋体" w:hAnsi="宋体" w:hint="eastAsia"/>
                <w:sz w:val="18"/>
                <w:szCs w:val="18"/>
              </w:rPr>
              <w:t>2</w:t>
            </w:r>
            <w:r>
              <w:rPr>
                <w:rFonts w:ascii="宋体" w:eastAsia="宋体" w:hAnsi="宋体"/>
                <w:sz w:val="18"/>
                <w:szCs w:val="18"/>
              </w:rPr>
              <w:t>1</w:t>
            </w:r>
          </w:p>
        </w:tc>
        <w:tc>
          <w:tcPr>
            <w:tcW w:w="1854" w:type="dxa"/>
            <w:tcBorders>
              <w:left w:val="single" w:sz="4" w:space="0" w:color="auto"/>
            </w:tcBorders>
          </w:tcPr>
          <w:p w:rsidR="00E20169" w:rsidRPr="00A816CE" w:rsidRDefault="00E20169" w:rsidP="00E6538B">
            <w:pPr>
              <w:jc w:val="left"/>
              <w:rPr>
                <w:rFonts w:ascii="宋体" w:eastAsia="宋体" w:hAnsi="宋体"/>
                <w:sz w:val="18"/>
                <w:szCs w:val="18"/>
              </w:rPr>
            </w:pPr>
            <w:r w:rsidRPr="00A816CE">
              <w:rPr>
                <w:rFonts w:ascii="宋体" w:eastAsia="宋体" w:hAnsi="宋体" w:hint="eastAsia"/>
                <w:sz w:val="18"/>
                <w:szCs w:val="18"/>
              </w:rPr>
              <w:t>系统工程</w:t>
            </w:r>
          </w:p>
        </w:tc>
        <w:tc>
          <w:tcPr>
            <w:tcW w:w="981" w:type="dxa"/>
            <w:vAlign w:val="center"/>
          </w:tcPr>
          <w:p w:rsidR="00E20169" w:rsidRPr="00A816CE" w:rsidRDefault="00E20169" w:rsidP="00397235">
            <w:pPr>
              <w:jc w:val="center"/>
              <w:rPr>
                <w:rFonts w:ascii="宋体" w:eastAsia="宋体" w:hAnsi="宋体"/>
                <w:sz w:val="18"/>
                <w:szCs w:val="18"/>
              </w:rPr>
            </w:pPr>
            <w:r w:rsidRPr="00A816CE">
              <w:rPr>
                <w:rFonts w:ascii="宋体" w:eastAsia="宋体" w:hAnsi="宋体" w:hint="eastAsia"/>
                <w:sz w:val="18"/>
                <w:szCs w:val="18"/>
              </w:rPr>
              <w:t>2</w:t>
            </w:r>
          </w:p>
        </w:tc>
      </w:tr>
      <w:tr w:rsidR="00E20169" w:rsidRPr="00A816CE" w:rsidTr="00017955">
        <w:trPr>
          <w:trHeight w:val="276"/>
          <w:jc w:val="center"/>
        </w:trPr>
        <w:tc>
          <w:tcPr>
            <w:tcW w:w="704" w:type="dxa"/>
            <w:vAlign w:val="center"/>
          </w:tcPr>
          <w:p w:rsidR="00E20169" w:rsidRPr="00A816CE" w:rsidRDefault="00E20169" w:rsidP="00E20169">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10</w:t>
            </w:r>
          </w:p>
        </w:tc>
        <w:tc>
          <w:tcPr>
            <w:tcW w:w="2409" w:type="dxa"/>
            <w:noWrap/>
            <w:hideMark/>
          </w:tcPr>
          <w:p w:rsidR="00E20169" w:rsidRPr="00A816CE" w:rsidRDefault="00E20169" w:rsidP="00E6538B">
            <w:pPr>
              <w:widowControl/>
              <w:jc w:val="left"/>
              <w:rPr>
                <w:rFonts w:ascii="宋体" w:eastAsia="宋体" w:hAnsi="宋体" w:cs="宋体"/>
                <w:kern w:val="0"/>
                <w:sz w:val="18"/>
                <w:szCs w:val="18"/>
              </w:rPr>
            </w:pPr>
            <w:r w:rsidRPr="00A816CE">
              <w:rPr>
                <w:rFonts w:ascii="宋体" w:eastAsia="宋体" w:hAnsi="宋体" w:cs="宋体" w:hint="eastAsia"/>
                <w:kern w:val="0"/>
                <w:sz w:val="18"/>
                <w:szCs w:val="18"/>
              </w:rPr>
              <w:t>数据结构</w:t>
            </w:r>
          </w:p>
        </w:tc>
        <w:tc>
          <w:tcPr>
            <w:tcW w:w="1134" w:type="dxa"/>
            <w:tcBorders>
              <w:right w:val="double" w:sz="4" w:space="0" w:color="auto"/>
            </w:tcBorders>
            <w:noWrap/>
            <w:vAlign w:val="center"/>
            <w:hideMark/>
          </w:tcPr>
          <w:p w:rsidR="00E20169" w:rsidRPr="00A816CE" w:rsidRDefault="00E20169" w:rsidP="00397235">
            <w:pPr>
              <w:widowControl/>
              <w:jc w:val="center"/>
              <w:rPr>
                <w:rFonts w:ascii="宋体" w:eastAsia="宋体" w:hAnsi="宋体" w:cs="宋体"/>
                <w:kern w:val="0"/>
                <w:sz w:val="18"/>
                <w:szCs w:val="18"/>
              </w:rPr>
            </w:pPr>
            <w:r w:rsidRPr="00A816CE">
              <w:rPr>
                <w:rFonts w:ascii="宋体" w:eastAsia="宋体" w:hAnsi="宋体" w:cs="宋体" w:hint="eastAsia"/>
                <w:kern w:val="0"/>
                <w:sz w:val="18"/>
                <w:szCs w:val="18"/>
              </w:rPr>
              <w:t>6</w:t>
            </w:r>
          </w:p>
        </w:tc>
        <w:tc>
          <w:tcPr>
            <w:tcW w:w="587" w:type="dxa"/>
            <w:tcBorders>
              <w:right w:val="single" w:sz="4" w:space="0" w:color="auto"/>
            </w:tcBorders>
            <w:vAlign w:val="center"/>
          </w:tcPr>
          <w:p w:rsidR="00E20169" w:rsidRPr="00A816CE" w:rsidRDefault="00E20169" w:rsidP="00E20169">
            <w:pPr>
              <w:jc w:val="center"/>
              <w:rPr>
                <w:rFonts w:ascii="宋体" w:eastAsia="宋体" w:hAnsi="宋体" w:hint="eastAsia"/>
                <w:sz w:val="18"/>
                <w:szCs w:val="18"/>
              </w:rPr>
            </w:pPr>
          </w:p>
        </w:tc>
        <w:tc>
          <w:tcPr>
            <w:tcW w:w="1854" w:type="dxa"/>
            <w:tcBorders>
              <w:left w:val="single" w:sz="4" w:space="0" w:color="auto"/>
            </w:tcBorders>
          </w:tcPr>
          <w:p w:rsidR="00E20169" w:rsidRPr="00A816CE" w:rsidRDefault="00E20169" w:rsidP="00E6538B">
            <w:pPr>
              <w:jc w:val="left"/>
              <w:rPr>
                <w:rFonts w:ascii="宋体" w:eastAsia="宋体" w:hAnsi="宋体"/>
                <w:sz w:val="18"/>
                <w:szCs w:val="18"/>
              </w:rPr>
            </w:pPr>
            <w:r w:rsidRPr="00A816CE">
              <w:rPr>
                <w:rFonts w:ascii="宋体" w:eastAsia="宋体" w:hAnsi="宋体" w:hint="eastAsia"/>
                <w:sz w:val="18"/>
                <w:szCs w:val="18"/>
              </w:rPr>
              <w:t>工程热力学与传热学</w:t>
            </w:r>
          </w:p>
        </w:tc>
        <w:tc>
          <w:tcPr>
            <w:tcW w:w="981" w:type="dxa"/>
            <w:vAlign w:val="center"/>
          </w:tcPr>
          <w:p w:rsidR="00E20169" w:rsidRPr="00A816CE" w:rsidRDefault="00E20169" w:rsidP="00397235">
            <w:pPr>
              <w:jc w:val="center"/>
              <w:rPr>
                <w:rFonts w:ascii="宋体" w:eastAsia="宋体" w:hAnsi="宋体"/>
                <w:sz w:val="18"/>
                <w:szCs w:val="18"/>
              </w:rPr>
            </w:pPr>
            <w:r w:rsidRPr="00A816CE">
              <w:rPr>
                <w:rFonts w:ascii="宋体" w:eastAsia="宋体" w:hAnsi="宋体" w:hint="eastAsia"/>
                <w:sz w:val="18"/>
                <w:szCs w:val="18"/>
              </w:rPr>
              <w:t>2</w:t>
            </w:r>
          </w:p>
        </w:tc>
      </w:tr>
      <w:tr w:rsidR="00E20169" w:rsidRPr="00A816CE" w:rsidTr="00017955">
        <w:trPr>
          <w:trHeight w:val="276"/>
          <w:jc w:val="center"/>
        </w:trPr>
        <w:tc>
          <w:tcPr>
            <w:tcW w:w="704" w:type="dxa"/>
            <w:vAlign w:val="center"/>
          </w:tcPr>
          <w:p w:rsidR="00E20169" w:rsidRPr="00A816CE" w:rsidRDefault="00E20169" w:rsidP="00E20169">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11</w:t>
            </w:r>
          </w:p>
        </w:tc>
        <w:tc>
          <w:tcPr>
            <w:tcW w:w="2409" w:type="dxa"/>
            <w:noWrap/>
          </w:tcPr>
          <w:p w:rsidR="00E20169" w:rsidRPr="00A816CE" w:rsidRDefault="00E20169" w:rsidP="00E6538B">
            <w:pPr>
              <w:widowControl/>
              <w:jc w:val="left"/>
              <w:rPr>
                <w:rFonts w:ascii="宋体" w:eastAsia="宋体" w:hAnsi="宋体" w:cs="宋体"/>
                <w:kern w:val="0"/>
                <w:sz w:val="18"/>
                <w:szCs w:val="18"/>
              </w:rPr>
            </w:pPr>
            <w:r w:rsidRPr="00A816CE">
              <w:rPr>
                <w:rFonts w:ascii="宋体" w:eastAsia="宋体" w:hAnsi="宋体" w:cs="宋体" w:hint="eastAsia"/>
                <w:kern w:val="0"/>
                <w:sz w:val="18"/>
                <w:szCs w:val="18"/>
              </w:rPr>
              <w:t>人工智能</w:t>
            </w:r>
          </w:p>
        </w:tc>
        <w:tc>
          <w:tcPr>
            <w:tcW w:w="1134" w:type="dxa"/>
            <w:tcBorders>
              <w:right w:val="double" w:sz="4" w:space="0" w:color="auto"/>
            </w:tcBorders>
            <w:noWrap/>
            <w:vAlign w:val="center"/>
          </w:tcPr>
          <w:p w:rsidR="00E20169" w:rsidRPr="00A816CE" w:rsidRDefault="00E20169" w:rsidP="00397235">
            <w:pPr>
              <w:widowControl/>
              <w:jc w:val="center"/>
              <w:rPr>
                <w:rFonts w:ascii="宋体" w:eastAsia="宋体" w:hAnsi="宋体" w:cs="宋体"/>
                <w:kern w:val="0"/>
                <w:sz w:val="18"/>
                <w:szCs w:val="18"/>
              </w:rPr>
            </w:pPr>
            <w:r w:rsidRPr="00A816CE">
              <w:rPr>
                <w:rFonts w:ascii="宋体" w:eastAsia="宋体" w:hAnsi="宋体" w:cs="宋体" w:hint="eastAsia"/>
                <w:kern w:val="0"/>
                <w:sz w:val="18"/>
                <w:szCs w:val="18"/>
              </w:rPr>
              <w:t>6</w:t>
            </w:r>
          </w:p>
        </w:tc>
        <w:tc>
          <w:tcPr>
            <w:tcW w:w="587" w:type="dxa"/>
            <w:tcBorders>
              <w:right w:val="single" w:sz="4" w:space="0" w:color="auto"/>
            </w:tcBorders>
          </w:tcPr>
          <w:p w:rsidR="00E20169" w:rsidRPr="00A816CE" w:rsidRDefault="00E20169" w:rsidP="00E6538B">
            <w:pPr>
              <w:jc w:val="left"/>
              <w:rPr>
                <w:rFonts w:ascii="宋体" w:eastAsia="宋体" w:hAnsi="宋体"/>
                <w:sz w:val="18"/>
                <w:szCs w:val="18"/>
              </w:rPr>
            </w:pPr>
          </w:p>
        </w:tc>
        <w:tc>
          <w:tcPr>
            <w:tcW w:w="1854" w:type="dxa"/>
            <w:tcBorders>
              <w:left w:val="single" w:sz="4" w:space="0" w:color="auto"/>
            </w:tcBorders>
          </w:tcPr>
          <w:p w:rsidR="00E20169" w:rsidRPr="00A816CE" w:rsidRDefault="00E20169" w:rsidP="00E6538B">
            <w:pPr>
              <w:jc w:val="left"/>
              <w:rPr>
                <w:rFonts w:ascii="宋体" w:eastAsia="宋体" w:hAnsi="宋体"/>
                <w:sz w:val="18"/>
                <w:szCs w:val="18"/>
              </w:rPr>
            </w:pPr>
          </w:p>
        </w:tc>
        <w:tc>
          <w:tcPr>
            <w:tcW w:w="981" w:type="dxa"/>
            <w:vAlign w:val="center"/>
          </w:tcPr>
          <w:p w:rsidR="00E20169" w:rsidRPr="00A816CE" w:rsidRDefault="00E20169" w:rsidP="00397235">
            <w:pPr>
              <w:jc w:val="center"/>
              <w:rPr>
                <w:rFonts w:ascii="宋体" w:eastAsia="宋体" w:hAnsi="宋体"/>
                <w:sz w:val="18"/>
                <w:szCs w:val="18"/>
              </w:rPr>
            </w:pPr>
          </w:p>
        </w:tc>
      </w:tr>
    </w:tbl>
    <w:p w:rsidR="00EB1F19" w:rsidRDefault="00CA358F" w:rsidP="00CA358F">
      <w:pPr>
        <w:spacing w:line="360" w:lineRule="exact"/>
        <w:ind w:firstLine="420"/>
      </w:pPr>
      <w:r w:rsidRPr="00EB1F19">
        <w:rPr>
          <w:rFonts w:hint="eastAsia"/>
        </w:rPr>
        <w:t>这里需要特别说明的是</w:t>
      </w:r>
      <w:r w:rsidR="00EB1F19">
        <w:rPr>
          <w:rFonts w:hint="eastAsia"/>
        </w:rPr>
        <w:t>：</w:t>
      </w:r>
    </w:p>
    <w:p w:rsidR="00CB651C" w:rsidRDefault="00EB1F19" w:rsidP="00CA358F">
      <w:pPr>
        <w:spacing w:line="360" w:lineRule="exact"/>
        <w:ind w:firstLine="420"/>
      </w:pPr>
      <w:r>
        <w:rPr>
          <w:rFonts w:hint="eastAsia"/>
        </w:rPr>
        <w:lastRenderedPageBreak/>
        <w:t>（1）</w:t>
      </w:r>
      <w:r w:rsidR="0092516D" w:rsidRPr="00CA358F">
        <w:rPr>
          <w:rFonts w:hint="eastAsia"/>
        </w:rPr>
        <w:t>由于各校所开设课程的名称存在一定差异</w:t>
      </w:r>
      <w:r w:rsidR="008962E7">
        <w:rPr>
          <w:rFonts w:hint="eastAsia"/>
        </w:rPr>
        <w:t>。为了便于分析问题，通过进行了大量的专家访谈，</w:t>
      </w:r>
      <w:r w:rsidR="007371C4">
        <w:rPr>
          <w:rFonts w:hint="eastAsia"/>
        </w:rPr>
        <w:t>收集专家对</w:t>
      </w:r>
      <w:r w:rsidR="00A14C07">
        <w:rPr>
          <w:rFonts w:hint="eastAsia"/>
        </w:rPr>
        <w:t>专业发展及</w:t>
      </w:r>
      <w:r w:rsidR="007371C4">
        <w:rPr>
          <w:rFonts w:hint="eastAsia"/>
        </w:rPr>
        <w:t>相关课程的看法，</w:t>
      </w:r>
      <w:r w:rsidR="003674FF">
        <w:rPr>
          <w:rFonts w:hint="eastAsia"/>
        </w:rPr>
        <w:t>并通过</w:t>
      </w:r>
      <w:r w:rsidR="007138DA">
        <w:rPr>
          <w:rFonts w:hint="eastAsia"/>
        </w:rPr>
        <w:t>进一步的</w:t>
      </w:r>
      <w:r w:rsidR="008962E7">
        <w:rPr>
          <w:rFonts w:hint="eastAsia"/>
        </w:rPr>
        <w:t>整理、分析，</w:t>
      </w:r>
      <w:r w:rsidR="00AB6CE3" w:rsidRPr="00CA358F">
        <w:rPr>
          <w:rFonts w:hint="eastAsia"/>
        </w:rPr>
        <w:t>在</w:t>
      </w:r>
      <w:r w:rsidR="00A82A70">
        <w:rPr>
          <w:rFonts w:hint="eastAsia"/>
        </w:rPr>
        <w:t>实际进行</w:t>
      </w:r>
      <w:r w:rsidR="00AB6CE3" w:rsidRPr="00CA358F">
        <w:rPr>
          <w:rFonts w:hint="eastAsia"/>
        </w:rPr>
        <w:t>统计</w:t>
      </w:r>
      <w:r w:rsidR="00B12D1F">
        <w:rPr>
          <w:rFonts w:hint="eastAsia"/>
        </w:rPr>
        <w:t>工作</w:t>
      </w:r>
      <w:r w:rsidR="00AB6CE3" w:rsidRPr="00CA358F">
        <w:rPr>
          <w:rFonts w:hint="eastAsia"/>
        </w:rPr>
        <w:t>时对</w:t>
      </w:r>
      <w:r w:rsidR="00B12D1F">
        <w:rPr>
          <w:rFonts w:hint="eastAsia"/>
        </w:rPr>
        <w:t>相关</w:t>
      </w:r>
      <w:r w:rsidR="00474314">
        <w:rPr>
          <w:rFonts w:hint="eastAsia"/>
        </w:rPr>
        <w:t>课程</w:t>
      </w:r>
      <w:r w:rsidR="00AB6CE3" w:rsidRPr="00CA358F">
        <w:rPr>
          <w:rFonts w:hint="eastAsia"/>
        </w:rPr>
        <w:t>名称进行了</w:t>
      </w:r>
      <w:r w:rsidR="009F2F79" w:rsidRPr="00CA358F">
        <w:rPr>
          <w:rFonts w:hint="eastAsia"/>
        </w:rPr>
        <w:t>调整，</w:t>
      </w:r>
      <w:r w:rsidR="000E007B">
        <w:rPr>
          <w:rFonts w:hint="eastAsia"/>
        </w:rPr>
        <w:t>即将</w:t>
      </w:r>
      <w:r w:rsidR="009F2F79" w:rsidRPr="00CA358F">
        <w:rPr>
          <w:rFonts w:hint="eastAsia"/>
        </w:rPr>
        <w:t>相似但叫法存在差异的课程名称进行了</w:t>
      </w:r>
      <w:r w:rsidR="00BF05D9">
        <w:rPr>
          <w:rFonts w:hint="eastAsia"/>
        </w:rPr>
        <w:t>统一命名</w:t>
      </w:r>
      <w:r w:rsidR="009F2F79" w:rsidRPr="00CA358F">
        <w:rPr>
          <w:rFonts w:hint="eastAsia"/>
        </w:rPr>
        <w:t>，其典型如“BIM技术原理及应用”“BIM基础及应用”“BIM建模及应用”</w:t>
      </w:r>
      <w:r w:rsidR="006850CD">
        <w:rPr>
          <w:rFonts w:hint="eastAsia"/>
        </w:rPr>
        <w:t>等各种不同的叫法</w:t>
      </w:r>
      <w:r w:rsidR="009F2F79" w:rsidRPr="00CA358F">
        <w:rPr>
          <w:rFonts w:hint="eastAsia"/>
        </w:rPr>
        <w:t>，统一调整为了“BIM技术及应用”</w:t>
      </w:r>
      <w:r w:rsidR="00CB651C">
        <w:rPr>
          <w:rFonts w:hint="eastAsia"/>
        </w:rPr>
        <w:t>。</w:t>
      </w:r>
    </w:p>
    <w:p w:rsidR="00107733" w:rsidRPr="00CA358F" w:rsidRDefault="00CB651C" w:rsidP="00CA358F">
      <w:pPr>
        <w:spacing w:line="360" w:lineRule="exact"/>
        <w:ind w:firstLine="420"/>
      </w:pPr>
      <w:r>
        <w:rPr>
          <w:rFonts w:hint="eastAsia"/>
        </w:rPr>
        <w:t>（2）</w:t>
      </w:r>
      <w:r w:rsidR="00230583">
        <w:rPr>
          <w:rFonts w:hint="eastAsia"/>
        </w:rPr>
        <w:t>表</w:t>
      </w:r>
      <w:r w:rsidR="009735B0">
        <w:rPr>
          <w:rFonts w:hint="eastAsia"/>
        </w:rPr>
        <w:t>3</w:t>
      </w:r>
      <w:r w:rsidR="00230583">
        <w:rPr>
          <w:rFonts w:hint="eastAsia"/>
        </w:rPr>
        <w:t>中的</w:t>
      </w:r>
      <w:r w:rsidR="00230583" w:rsidRPr="00CA358F">
        <w:rPr>
          <w:rFonts w:hint="eastAsia"/>
        </w:rPr>
        <w:t xml:space="preserve"> </w:t>
      </w:r>
      <w:r w:rsidR="000C4EC5" w:rsidRPr="00CA358F">
        <w:rPr>
          <w:rFonts w:hint="eastAsia"/>
        </w:rPr>
        <w:t>“</w:t>
      </w:r>
      <w:r w:rsidR="00296BE7" w:rsidRPr="00CA358F">
        <w:t>Python程序设计”</w:t>
      </w:r>
      <w:r w:rsidR="00296BE7" w:rsidRPr="00CA358F">
        <w:rPr>
          <w:rFonts w:hint="eastAsia"/>
        </w:rPr>
        <w:t>课程是将相关学校</w:t>
      </w:r>
      <w:r w:rsidR="00AB2493" w:rsidRPr="00CA358F">
        <w:rPr>
          <w:rFonts w:hint="eastAsia"/>
        </w:rPr>
        <w:t>明确写明课程名称与Python相关，且</w:t>
      </w:r>
      <w:r w:rsidR="00296BE7" w:rsidRPr="00CA358F">
        <w:rPr>
          <w:rFonts w:hint="eastAsia"/>
        </w:rPr>
        <w:t>列入了学科基础课程</w:t>
      </w:r>
      <w:r w:rsidR="00AB2493" w:rsidRPr="00CA358F">
        <w:rPr>
          <w:rFonts w:hint="eastAsia"/>
        </w:rPr>
        <w:t>或专业课</w:t>
      </w:r>
      <w:r w:rsidR="00296BE7" w:rsidRPr="00CA358F">
        <w:rPr>
          <w:rFonts w:hint="eastAsia"/>
        </w:rPr>
        <w:t>中的</w:t>
      </w:r>
      <w:r w:rsidR="00AB2493" w:rsidRPr="00CA358F">
        <w:rPr>
          <w:rFonts w:hint="eastAsia"/>
        </w:rPr>
        <w:t>课程</w:t>
      </w:r>
      <w:r w:rsidR="00296BE7" w:rsidRPr="00CA358F">
        <w:rPr>
          <w:rFonts w:hint="eastAsia"/>
        </w:rPr>
        <w:t>纳入统计范围</w:t>
      </w:r>
      <w:r w:rsidR="000C4EC5" w:rsidRPr="00CA358F">
        <w:rPr>
          <w:rFonts w:hint="eastAsia"/>
        </w:rPr>
        <w:t>，只开设“高级程序设计”之类通识教育课程的，未列入统计。值得注意的是，开设“</w:t>
      </w:r>
      <w:r w:rsidR="000C4EC5" w:rsidRPr="00CA358F">
        <w:t>Python程序设计”</w:t>
      </w:r>
      <w:r w:rsidR="00296BE7" w:rsidRPr="00CA358F">
        <w:rPr>
          <w:rFonts w:hint="eastAsia"/>
        </w:rPr>
        <w:t>学校</w:t>
      </w:r>
      <w:r w:rsidR="00A61A79">
        <w:rPr>
          <w:rFonts w:hint="eastAsia"/>
        </w:rPr>
        <w:t>多数还开设</w:t>
      </w:r>
      <w:r w:rsidR="007C7F17">
        <w:rPr>
          <w:rFonts w:hint="eastAsia"/>
        </w:rPr>
        <w:t>了</w:t>
      </w:r>
      <w:r w:rsidR="00296BE7" w:rsidRPr="00CA358F">
        <w:rPr>
          <w:rFonts w:hint="eastAsia"/>
        </w:rPr>
        <w:t>如“高级程序设计”之类的通识教育课程。</w:t>
      </w:r>
    </w:p>
    <w:p w:rsidR="007B0B16" w:rsidRDefault="007B0B16" w:rsidP="000F610C">
      <w:pPr>
        <w:spacing w:line="360" w:lineRule="exact"/>
        <w:ind w:firstLine="420"/>
      </w:pPr>
      <w:r>
        <w:rPr>
          <w:rFonts w:hint="eastAsia"/>
        </w:rPr>
        <w:t>通过分析相关课程的设置情况，</w:t>
      </w:r>
      <w:r w:rsidR="00331A97">
        <w:rPr>
          <w:rFonts w:hint="eastAsia"/>
        </w:rPr>
        <w:t>可以认为各校的课程设置较为分散，</w:t>
      </w:r>
      <w:r w:rsidR="00E740A1">
        <w:rPr>
          <w:rFonts w:hint="eastAsia"/>
        </w:rPr>
        <w:t>没有形成一个</w:t>
      </w:r>
      <w:r w:rsidR="00D66397">
        <w:rPr>
          <w:rFonts w:hint="eastAsia"/>
        </w:rPr>
        <w:t>清晰、</w:t>
      </w:r>
      <w:r w:rsidR="00E740A1">
        <w:rPr>
          <w:rFonts w:hint="eastAsia"/>
        </w:rPr>
        <w:t>明确的体系。</w:t>
      </w:r>
      <w:r w:rsidR="005F3845">
        <w:rPr>
          <w:rFonts w:hint="eastAsia"/>
        </w:rPr>
        <w:t>课程的开设方式</w:t>
      </w:r>
      <w:r>
        <w:rPr>
          <w:rFonts w:hint="eastAsia"/>
        </w:rPr>
        <w:t>包含以下几种情况：</w:t>
      </w:r>
    </w:p>
    <w:p w:rsidR="00107733" w:rsidRDefault="007B0B16" w:rsidP="000F610C">
      <w:pPr>
        <w:spacing w:line="360" w:lineRule="exact"/>
        <w:ind w:firstLine="420"/>
      </w:pPr>
      <w:r>
        <w:rPr>
          <w:rFonts w:hint="eastAsia"/>
        </w:rPr>
        <w:t>（1）新设的专业综合性课程</w:t>
      </w:r>
      <w:r w:rsidR="00C90E44">
        <w:rPr>
          <w:rFonts w:hint="eastAsia"/>
        </w:rPr>
        <w:t>。</w:t>
      </w:r>
      <w:r>
        <w:rPr>
          <w:rFonts w:hint="eastAsia"/>
        </w:rPr>
        <w:t>较为典型的是</w:t>
      </w:r>
      <w:r w:rsidR="00C90E44">
        <w:rPr>
          <w:rFonts w:hint="eastAsia"/>
        </w:rPr>
        <w:t>“智能建造导论”，有10所院校开设</w:t>
      </w:r>
      <w:r w:rsidR="00F1610C">
        <w:rPr>
          <w:rFonts w:hint="eastAsia"/>
        </w:rPr>
        <w:t>，值得注意的是，此类课程的数量相对较少</w:t>
      </w:r>
      <w:r w:rsidR="00C90E44">
        <w:rPr>
          <w:rFonts w:hint="eastAsia"/>
        </w:rPr>
        <w:t>。</w:t>
      </w:r>
    </w:p>
    <w:p w:rsidR="00C90E44" w:rsidRDefault="00C90E44" w:rsidP="000F610C">
      <w:pPr>
        <w:spacing w:line="360" w:lineRule="exact"/>
        <w:ind w:firstLine="420"/>
      </w:pPr>
      <w:r>
        <w:rPr>
          <w:rFonts w:hint="eastAsia"/>
        </w:rPr>
        <w:t>（2）引入其他专业的课程。</w:t>
      </w:r>
      <w:r w:rsidR="006C57B3">
        <w:rPr>
          <w:rFonts w:hint="eastAsia"/>
        </w:rPr>
        <w:t>此类课程占有较大的比重，通过表</w:t>
      </w:r>
      <w:r w:rsidR="002A007E">
        <w:rPr>
          <w:rFonts w:hint="eastAsia"/>
        </w:rPr>
        <w:t>3</w:t>
      </w:r>
      <w:r w:rsidR="006C57B3">
        <w:rPr>
          <w:rFonts w:hint="eastAsia"/>
        </w:rPr>
        <w:t>可以发现</w:t>
      </w:r>
      <w:r>
        <w:rPr>
          <w:rFonts w:hint="eastAsia"/>
        </w:rPr>
        <w:t>其中多数课程均属于此类型</w:t>
      </w:r>
      <w:r w:rsidR="0029231A">
        <w:rPr>
          <w:rFonts w:hint="eastAsia"/>
        </w:rPr>
        <w:t>。相关课程分别来自作为除土木工程之外的</w:t>
      </w:r>
      <w:proofErr w:type="gramStart"/>
      <w:r w:rsidR="0029231A">
        <w:rPr>
          <w:rFonts w:hint="eastAsia"/>
        </w:rPr>
        <w:t>本专其他</w:t>
      </w:r>
      <w:proofErr w:type="gramEnd"/>
      <w:r w:rsidR="0029231A">
        <w:rPr>
          <w:rFonts w:hint="eastAsia"/>
        </w:rPr>
        <w:t>业主干学科</w:t>
      </w:r>
      <w:r w:rsidR="00ED3BED">
        <w:rPr>
          <w:rFonts w:hint="eastAsia"/>
        </w:rPr>
        <w:t>或土木工程领域新的发展</w:t>
      </w:r>
      <w:r w:rsidR="0029231A">
        <w:rPr>
          <w:rFonts w:hint="eastAsia"/>
        </w:rPr>
        <w:t>。</w:t>
      </w:r>
      <w:r w:rsidR="00ED3BED">
        <w:rPr>
          <w:rFonts w:hint="eastAsia"/>
        </w:rPr>
        <w:t>其中开设较多的课程</w:t>
      </w:r>
      <w:r w:rsidR="00DE4854">
        <w:rPr>
          <w:rFonts w:hint="eastAsia"/>
        </w:rPr>
        <w:t>涉及BIM技术、物联网、机器人、大数据等领域。</w:t>
      </w:r>
    </w:p>
    <w:p w:rsidR="00C90E44" w:rsidRDefault="0029231A" w:rsidP="000F610C">
      <w:pPr>
        <w:spacing w:line="360" w:lineRule="exact"/>
        <w:ind w:firstLine="420"/>
      </w:pPr>
      <w:r>
        <w:rPr>
          <w:rFonts w:hint="eastAsia"/>
        </w:rPr>
        <w:t>（3）原有课程的改造升级。</w:t>
      </w:r>
      <w:r w:rsidR="002169DE">
        <w:rPr>
          <w:rFonts w:hint="eastAsia"/>
        </w:rPr>
        <w:t>此类课程也占有一定的比重，</w:t>
      </w:r>
      <w:r w:rsidR="00225EFC">
        <w:rPr>
          <w:rFonts w:hint="eastAsia"/>
        </w:rPr>
        <w:t>较为典型的如智能测绘、土木工程智能化施工、智能化结构设计等。</w:t>
      </w:r>
      <w:r w:rsidR="00ED3BED">
        <w:rPr>
          <w:rFonts w:hint="eastAsia"/>
        </w:rPr>
        <w:t>这些课程在土木工程专业规范</w:t>
      </w:r>
      <w:r w:rsidR="00C41B28">
        <w:rPr>
          <w:rFonts w:hint="eastAsia"/>
        </w:rPr>
        <w:t>中</w:t>
      </w:r>
      <w:r w:rsidR="00ED3BED">
        <w:rPr>
          <w:rFonts w:hint="eastAsia"/>
        </w:rPr>
        <w:t>均作为专业知识体系的主要课程有所体现，但各校根据智能建造专业的情况进行了调整和充实，使其更符合本专业的要求。</w:t>
      </w:r>
    </w:p>
    <w:p w:rsidR="001566FF" w:rsidRPr="00C10637" w:rsidRDefault="001566FF">
      <w:pPr>
        <w:rPr>
          <w:b/>
        </w:rPr>
      </w:pPr>
      <w:r w:rsidRPr="00C10637">
        <w:rPr>
          <w:rFonts w:hint="eastAsia"/>
          <w:b/>
        </w:rPr>
        <w:t>3.</w:t>
      </w:r>
      <w:r w:rsidR="00AA0399" w:rsidRPr="00C10637">
        <w:rPr>
          <w:rFonts w:hint="eastAsia"/>
          <w:b/>
        </w:rPr>
        <w:t>4</w:t>
      </w:r>
      <w:r w:rsidRPr="00C10637">
        <w:rPr>
          <w:rFonts w:hint="eastAsia"/>
          <w:b/>
        </w:rPr>
        <w:t>.3</w:t>
      </w:r>
      <w:r w:rsidRPr="00C10637">
        <w:rPr>
          <w:b/>
        </w:rPr>
        <w:t xml:space="preserve"> </w:t>
      </w:r>
      <w:r w:rsidRPr="00C10637">
        <w:rPr>
          <w:rFonts w:hint="eastAsia"/>
          <w:b/>
        </w:rPr>
        <w:t>实践环节</w:t>
      </w:r>
    </w:p>
    <w:p w:rsidR="00F2110C" w:rsidRDefault="00954EAF" w:rsidP="000F610C">
      <w:pPr>
        <w:spacing w:line="360" w:lineRule="exact"/>
        <w:ind w:firstLine="420"/>
      </w:pPr>
      <w:r>
        <w:rPr>
          <w:rFonts w:hint="eastAsia"/>
        </w:rPr>
        <w:t>实践环节在智能建造人才培养的过程中起着重要的作用</w:t>
      </w:r>
      <w:r w:rsidR="006C2D1F">
        <w:rPr>
          <w:rFonts w:hint="eastAsia"/>
        </w:rPr>
        <w:t>。</w:t>
      </w:r>
      <w:r w:rsidR="00281164">
        <w:rPr>
          <w:rFonts w:hint="eastAsia"/>
        </w:rPr>
        <w:t>分析20所院校人才培养方案中的实践环节设置，发现存在着比较大的差异，</w:t>
      </w:r>
      <w:r w:rsidR="008127C3">
        <w:rPr>
          <w:rFonts w:hint="eastAsia"/>
        </w:rPr>
        <w:t>特别是一些新设置的实践课程，</w:t>
      </w:r>
      <w:r w:rsidR="001D521C">
        <w:rPr>
          <w:rFonts w:hint="eastAsia"/>
        </w:rPr>
        <w:t>难以</w:t>
      </w:r>
      <w:r w:rsidR="00414734">
        <w:rPr>
          <w:rFonts w:hint="eastAsia"/>
        </w:rPr>
        <w:t>判断课程内容并</w:t>
      </w:r>
      <w:r w:rsidR="00281164">
        <w:rPr>
          <w:rFonts w:hint="eastAsia"/>
        </w:rPr>
        <w:t>归并。</w:t>
      </w:r>
      <w:r w:rsidR="001075C4">
        <w:rPr>
          <w:rFonts w:hint="eastAsia"/>
        </w:rPr>
        <w:t>综合</w:t>
      </w:r>
      <w:r w:rsidR="00B003DA">
        <w:rPr>
          <w:rFonts w:hint="eastAsia"/>
        </w:rPr>
        <w:t>相关数据，并对照</w:t>
      </w:r>
      <w:r w:rsidR="001075C4">
        <w:rPr>
          <w:rFonts w:hint="eastAsia"/>
        </w:rPr>
        <w:t>分析</w:t>
      </w:r>
      <w:r w:rsidR="00B003DA" w:rsidRPr="00B003DA">
        <w:rPr>
          <w:rFonts w:hint="eastAsia"/>
        </w:rPr>
        <w:t>《高等学校土木工程专业本科指导性专业规范》</w:t>
      </w:r>
      <w:r w:rsidR="00B003DA">
        <w:rPr>
          <w:rFonts w:hint="eastAsia"/>
        </w:rPr>
        <w:t>中</w:t>
      </w:r>
      <w:r w:rsidR="00893374">
        <w:rPr>
          <w:rFonts w:hint="eastAsia"/>
        </w:rPr>
        <w:t>对</w:t>
      </w:r>
      <w:r w:rsidR="00B003DA">
        <w:rPr>
          <w:rFonts w:hint="eastAsia"/>
        </w:rPr>
        <w:t>实践环节的规定</w:t>
      </w:r>
      <w:r w:rsidR="001075C4">
        <w:rPr>
          <w:rFonts w:hint="eastAsia"/>
        </w:rPr>
        <w:t>，</w:t>
      </w:r>
      <w:r w:rsidR="001E2DC2">
        <w:rPr>
          <w:rFonts w:hint="eastAsia"/>
        </w:rPr>
        <w:t>可以认为目前智能建造专业</w:t>
      </w:r>
      <w:r w:rsidR="001075C4">
        <w:rPr>
          <w:rFonts w:hint="eastAsia"/>
        </w:rPr>
        <w:t>实践环节的设置主要是以下四种情况。</w:t>
      </w:r>
    </w:p>
    <w:p w:rsidR="00980995" w:rsidRDefault="00AC4958" w:rsidP="000F610C">
      <w:pPr>
        <w:spacing w:line="360" w:lineRule="exact"/>
        <w:ind w:firstLine="420"/>
      </w:pPr>
      <w:r>
        <w:rPr>
          <w:rFonts w:hint="eastAsia"/>
        </w:rPr>
        <w:t>（</w:t>
      </w:r>
      <w:r w:rsidR="00980995">
        <w:t>1</w:t>
      </w:r>
      <w:r>
        <w:rPr>
          <w:rFonts w:hint="eastAsia"/>
        </w:rPr>
        <w:t>）</w:t>
      </w:r>
      <w:r w:rsidR="00980995">
        <w:t>综合性智能建造类新设置实践环节</w:t>
      </w:r>
      <w:r w:rsidR="004E2E39">
        <w:rPr>
          <w:rFonts w:hint="eastAsia"/>
        </w:rPr>
        <w:t>。此类实践课程的数量较多，且</w:t>
      </w:r>
      <w:r w:rsidR="00672E64">
        <w:rPr>
          <w:rFonts w:hint="eastAsia"/>
        </w:rPr>
        <w:t>存在着比较大的差异，其中主要包括</w:t>
      </w:r>
      <w:r w:rsidR="00980995">
        <w:rPr>
          <w:rFonts w:hint="eastAsia"/>
        </w:rPr>
        <w:t>智能建造导论与认识实习、智能建造工作坊、智能建造全过程课程设计、智能建造实验、智能建造综合实训</w:t>
      </w:r>
      <w:r w:rsidR="00770DC7">
        <w:rPr>
          <w:rFonts w:hint="eastAsia"/>
        </w:rPr>
        <w:t>、学科交叉创新训练</w:t>
      </w:r>
      <w:r w:rsidR="00DE3A79">
        <w:rPr>
          <w:rFonts w:hint="eastAsia"/>
        </w:rPr>
        <w:t>、智能设备体验</w:t>
      </w:r>
      <w:r w:rsidR="00980995">
        <w:rPr>
          <w:rFonts w:hint="eastAsia"/>
        </w:rPr>
        <w:t>等。</w:t>
      </w:r>
    </w:p>
    <w:p w:rsidR="00980995" w:rsidRDefault="00AC4958" w:rsidP="000F610C">
      <w:pPr>
        <w:spacing w:line="360" w:lineRule="exact"/>
        <w:ind w:firstLine="420"/>
      </w:pPr>
      <w:r>
        <w:rPr>
          <w:rFonts w:hint="eastAsia"/>
        </w:rPr>
        <w:t>（</w:t>
      </w:r>
      <w:r w:rsidR="00FD0A3E">
        <w:rPr>
          <w:rFonts w:hint="eastAsia"/>
        </w:rPr>
        <w:t>2</w:t>
      </w:r>
      <w:r>
        <w:rPr>
          <w:rFonts w:hint="eastAsia"/>
        </w:rPr>
        <w:t>）</w:t>
      </w:r>
      <w:r w:rsidR="00980995">
        <w:t>智能建造领域某方面实践环节</w:t>
      </w:r>
      <w:r w:rsidR="002B1AA0">
        <w:rPr>
          <w:rFonts w:hint="eastAsia"/>
        </w:rPr>
        <w:t>。这一部分也是实践环节设置的一个重要方面，主要</w:t>
      </w:r>
      <w:r w:rsidR="003C26D5">
        <w:rPr>
          <w:rFonts w:hint="eastAsia"/>
        </w:rPr>
        <w:t>包括</w:t>
      </w:r>
      <w:r w:rsidR="00980995">
        <w:t>BIM</w:t>
      </w:r>
      <w:r w:rsidR="004D3740">
        <w:rPr>
          <w:rFonts w:hint="eastAsia"/>
        </w:rPr>
        <w:t>课程设计</w:t>
      </w:r>
      <w:r w:rsidR="00980995">
        <w:t>、装配式</w:t>
      </w:r>
      <w:r w:rsidR="00481224">
        <w:rPr>
          <w:rFonts w:hint="eastAsia"/>
        </w:rPr>
        <w:t>设计与施工</w:t>
      </w:r>
      <w:r w:rsidR="004D3740">
        <w:rPr>
          <w:rFonts w:hint="eastAsia"/>
        </w:rPr>
        <w:t>、传感器与检测监测技术实习、地理信息系统课程设计、建造机器人实验</w:t>
      </w:r>
      <w:r w:rsidR="003144A5">
        <w:rPr>
          <w:rFonts w:hint="eastAsia"/>
        </w:rPr>
        <w:t>、3D构件打印</w:t>
      </w:r>
      <w:r w:rsidR="00E474D5">
        <w:rPr>
          <w:rFonts w:hint="eastAsia"/>
        </w:rPr>
        <w:t>等。</w:t>
      </w:r>
      <w:r w:rsidR="00481224">
        <w:rPr>
          <w:rFonts w:hint="eastAsia"/>
        </w:rPr>
        <w:t>其中，</w:t>
      </w:r>
      <w:r w:rsidR="00DE3A79">
        <w:t>BIM</w:t>
      </w:r>
      <w:r w:rsidR="00DE3A79">
        <w:rPr>
          <w:rFonts w:hint="eastAsia"/>
        </w:rPr>
        <w:t>课程设计</w:t>
      </w:r>
      <w:r w:rsidR="00DE3A79">
        <w:t>、装配式</w:t>
      </w:r>
      <w:r w:rsidR="00DE3A79">
        <w:rPr>
          <w:rFonts w:hint="eastAsia"/>
        </w:rPr>
        <w:t>设计与施工</w:t>
      </w:r>
      <w:r w:rsidR="00BB263D">
        <w:rPr>
          <w:rFonts w:hint="eastAsia"/>
        </w:rPr>
        <w:t>是开设院校较多的课程，</w:t>
      </w:r>
      <w:r w:rsidR="0082344D">
        <w:rPr>
          <w:rFonts w:hint="eastAsia"/>
        </w:rPr>
        <w:t>特别是BIM课程设计</w:t>
      </w:r>
      <w:r w:rsidR="003144A5">
        <w:rPr>
          <w:rFonts w:hint="eastAsia"/>
        </w:rPr>
        <w:t>，各校基本都有开设，甚至有的学校将其拆分</w:t>
      </w:r>
      <w:r w:rsidR="00E05351">
        <w:rPr>
          <w:rFonts w:hint="eastAsia"/>
        </w:rPr>
        <w:t>为</w:t>
      </w:r>
      <w:r w:rsidR="003144A5">
        <w:rPr>
          <w:rFonts w:hint="eastAsia"/>
        </w:rPr>
        <w:t>多个不同的环节进行</w:t>
      </w:r>
      <w:r w:rsidR="00E3497A">
        <w:rPr>
          <w:rFonts w:hint="eastAsia"/>
        </w:rPr>
        <w:t>。</w:t>
      </w:r>
    </w:p>
    <w:p w:rsidR="00FD0A3E" w:rsidRPr="00FD0A3E" w:rsidRDefault="00FD0A3E" w:rsidP="000F610C">
      <w:pPr>
        <w:spacing w:line="360" w:lineRule="exact"/>
        <w:ind w:firstLine="420"/>
        <w:rPr>
          <w:rFonts w:hint="eastAsia"/>
        </w:rPr>
      </w:pPr>
      <w:r>
        <w:rPr>
          <w:rFonts w:hint="eastAsia"/>
        </w:rPr>
        <w:t>（</w:t>
      </w:r>
      <w:r>
        <w:rPr>
          <w:rFonts w:hint="eastAsia"/>
        </w:rPr>
        <w:t>3</w:t>
      </w:r>
      <w:r>
        <w:rPr>
          <w:rFonts w:hint="eastAsia"/>
        </w:rPr>
        <w:t>）其他</w:t>
      </w:r>
      <w:r>
        <w:t>相关专业教学内容的实践环节</w:t>
      </w:r>
      <w:r>
        <w:rPr>
          <w:rFonts w:hint="eastAsia"/>
        </w:rPr>
        <w:t>。此类课程数量相对较少，主要有虚拟仪器设计课程设计、电路设计等。</w:t>
      </w:r>
    </w:p>
    <w:p w:rsidR="00980995" w:rsidRDefault="00AC4958" w:rsidP="000F610C">
      <w:pPr>
        <w:spacing w:line="360" w:lineRule="exact"/>
        <w:ind w:firstLine="420"/>
      </w:pPr>
      <w:r>
        <w:rPr>
          <w:rFonts w:hint="eastAsia"/>
        </w:rPr>
        <w:t>（</w:t>
      </w:r>
      <w:r w:rsidR="00980995">
        <w:t>4</w:t>
      </w:r>
      <w:r>
        <w:rPr>
          <w:rFonts w:hint="eastAsia"/>
        </w:rPr>
        <w:t>）</w:t>
      </w:r>
      <w:r w:rsidR="00980995">
        <w:t>原有土木工程专业实践环节的升级</w:t>
      </w:r>
      <w:r w:rsidR="00AD2414">
        <w:rPr>
          <w:rFonts w:hint="eastAsia"/>
        </w:rPr>
        <w:t>。这一部分也是实践环节设置的一个重要部分，开设较多</w:t>
      </w:r>
      <w:r w:rsidR="00B5794D">
        <w:rPr>
          <w:rFonts w:hint="eastAsia"/>
        </w:rPr>
        <w:t>的课程</w:t>
      </w:r>
      <w:r w:rsidR="00A7564B">
        <w:rPr>
          <w:rFonts w:hint="eastAsia"/>
        </w:rPr>
        <w:t>包括</w:t>
      </w:r>
      <w:r w:rsidR="00C53F35">
        <w:rPr>
          <w:rFonts w:hint="eastAsia"/>
        </w:rPr>
        <w:t>智能测绘</w:t>
      </w:r>
      <w:r w:rsidR="00A25D17">
        <w:rPr>
          <w:rFonts w:hint="eastAsia"/>
        </w:rPr>
        <w:t>实习</w:t>
      </w:r>
      <w:r w:rsidR="00C53F35">
        <w:rPr>
          <w:rFonts w:hint="eastAsia"/>
        </w:rPr>
        <w:t>、智能施工组织设计、智能桥梁设计、智能混凝土结构设计等。</w:t>
      </w:r>
    </w:p>
    <w:p w:rsidR="00980995" w:rsidRPr="009B53DA" w:rsidRDefault="00DB4691">
      <w:pPr>
        <w:rPr>
          <w:rFonts w:ascii="黑体" w:eastAsia="黑体" w:hAnsi="黑体"/>
          <w:sz w:val="28"/>
          <w:szCs w:val="28"/>
        </w:rPr>
      </w:pPr>
      <w:r w:rsidRPr="009B53DA">
        <w:rPr>
          <w:rFonts w:ascii="黑体" w:eastAsia="黑体" w:hAnsi="黑体" w:hint="eastAsia"/>
          <w:sz w:val="28"/>
          <w:szCs w:val="28"/>
        </w:rPr>
        <w:lastRenderedPageBreak/>
        <w:t>4</w:t>
      </w:r>
      <w:r w:rsidR="005B708F" w:rsidRPr="009B53DA">
        <w:rPr>
          <w:rFonts w:ascii="黑体" w:eastAsia="黑体" w:hAnsi="黑体"/>
          <w:sz w:val="28"/>
          <w:szCs w:val="28"/>
        </w:rPr>
        <w:t xml:space="preserve"> </w:t>
      </w:r>
      <w:r w:rsidRPr="009B53DA">
        <w:rPr>
          <w:rFonts w:ascii="黑体" w:eastAsia="黑体" w:hAnsi="黑体" w:hint="eastAsia"/>
          <w:sz w:val="28"/>
          <w:szCs w:val="28"/>
        </w:rPr>
        <w:t>结论</w:t>
      </w:r>
      <w:r w:rsidR="00180D59" w:rsidRPr="009B53DA">
        <w:rPr>
          <w:rFonts w:ascii="黑体" w:eastAsia="黑体" w:hAnsi="黑体" w:hint="eastAsia"/>
          <w:sz w:val="28"/>
          <w:szCs w:val="28"/>
        </w:rPr>
        <w:t>与展望</w:t>
      </w:r>
    </w:p>
    <w:p w:rsidR="0064042C" w:rsidRDefault="00785A52" w:rsidP="000F610C">
      <w:pPr>
        <w:spacing w:line="360" w:lineRule="exact"/>
        <w:ind w:firstLine="420"/>
      </w:pPr>
      <w:r>
        <w:rPr>
          <w:rFonts w:hint="eastAsia"/>
        </w:rPr>
        <w:t>通过结合相关的专业规范对20所院校智能建造专业人才培养方案的分析，</w:t>
      </w:r>
      <w:r w:rsidR="00332C13">
        <w:rPr>
          <w:rFonts w:hint="eastAsia"/>
        </w:rPr>
        <w:t>可以得到以下的几点结论：</w:t>
      </w:r>
    </w:p>
    <w:p w:rsidR="005B708F" w:rsidRDefault="00316579" w:rsidP="000F610C">
      <w:pPr>
        <w:spacing w:line="360" w:lineRule="exact"/>
        <w:ind w:firstLine="420"/>
      </w:pPr>
      <w:r>
        <w:rPr>
          <w:rFonts w:hint="eastAsia"/>
        </w:rPr>
        <w:t>（1）</w:t>
      </w:r>
      <w:r w:rsidR="009B53DA">
        <w:rPr>
          <w:rFonts w:hint="eastAsia"/>
        </w:rPr>
        <w:t>各院校</w:t>
      </w:r>
      <w:r>
        <w:rPr>
          <w:rFonts w:hint="eastAsia"/>
        </w:rPr>
        <w:t>形成了较为明确、一致的人才培养目标</w:t>
      </w:r>
      <w:r w:rsidR="00AA0399">
        <w:rPr>
          <w:rFonts w:hint="eastAsia"/>
        </w:rPr>
        <w:t>。智能建造培养的</w:t>
      </w:r>
      <w:r w:rsidR="00DD1412">
        <w:rPr>
          <w:rFonts w:hint="eastAsia"/>
        </w:rPr>
        <w:t xml:space="preserve">人才主要面向的 </w:t>
      </w:r>
      <w:r w:rsidR="001A349A">
        <w:rPr>
          <w:rFonts w:hint="eastAsia"/>
        </w:rPr>
        <w:t>“</w:t>
      </w:r>
      <w:r w:rsidR="00AA0399" w:rsidRPr="00AA0399">
        <w:rPr>
          <w:rFonts w:hint="eastAsia"/>
        </w:rPr>
        <w:t>土木工程项目的智能设计、智能施工、智能运维、智能管理</w:t>
      </w:r>
      <w:r w:rsidR="001A349A">
        <w:rPr>
          <w:rFonts w:hint="eastAsia"/>
        </w:rPr>
        <w:t>、智能产品生产及智能防灾</w:t>
      </w:r>
      <w:r w:rsidR="00AA0399" w:rsidRPr="00AA0399">
        <w:rPr>
          <w:rFonts w:hint="eastAsia"/>
        </w:rPr>
        <w:t>等</w:t>
      </w:r>
      <w:r w:rsidR="00DD1412">
        <w:rPr>
          <w:rFonts w:hint="eastAsia"/>
        </w:rPr>
        <w:t>”</w:t>
      </w:r>
      <w:r w:rsidR="001A349A">
        <w:rPr>
          <w:rFonts w:hint="eastAsia"/>
        </w:rPr>
        <w:t>领域</w:t>
      </w:r>
      <w:r w:rsidR="00DC19DA">
        <w:rPr>
          <w:rFonts w:hint="eastAsia"/>
        </w:rPr>
        <w:t>，具体的人才培养目标各校均根据实际情况有清晰准确的定位。</w:t>
      </w:r>
      <w:r w:rsidR="004E3221">
        <w:rPr>
          <w:rFonts w:hint="eastAsia"/>
        </w:rPr>
        <w:t>在</w:t>
      </w:r>
      <w:r w:rsidR="004E3221" w:rsidRPr="004E3221">
        <w:rPr>
          <w:rFonts w:hint="eastAsia"/>
        </w:rPr>
        <w:t>毕业总学分与修业年限要求</w:t>
      </w:r>
      <w:r w:rsidR="004E3221">
        <w:rPr>
          <w:rFonts w:hint="eastAsia"/>
        </w:rPr>
        <w:t>方面也能充分体现各校的特点。</w:t>
      </w:r>
    </w:p>
    <w:p w:rsidR="005B708F" w:rsidRDefault="00C121CC" w:rsidP="000F610C">
      <w:pPr>
        <w:spacing w:line="360" w:lineRule="exact"/>
        <w:ind w:firstLine="420"/>
      </w:pPr>
      <w:r>
        <w:rPr>
          <w:rFonts w:hint="eastAsia"/>
        </w:rPr>
        <w:t>（2</w:t>
      </w:r>
      <w:r w:rsidR="00115B04">
        <w:rPr>
          <w:rFonts w:hint="eastAsia"/>
        </w:rPr>
        <w:t>）对</w:t>
      </w:r>
      <w:r w:rsidR="001A349A">
        <w:rPr>
          <w:rFonts w:hint="eastAsia"/>
        </w:rPr>
        <w:t>智能建造专业的</w:t>
      </w:r>
      <w:r w:rsidR="00115B04">
        <w:rPr>
          <w:rFonts w:hint="eastAsia"/>
        </w:rPr>
        <w:t>主干学科</w:t>
      </w:r>
      <w:r w:rsidR="001A349A">
        <w:rPr>
          <w:rFonts w:hint="eastAsia"/>
        </w:rPr>
        <w:t>体系</w:t>
      </w:r>
      <w:r w:rsidR="00115B04">
        <w:rPr>
          <w:rFonts w:hint="eastAsia"/>
        </w:rPr>
        <w:t>的</w:t>
      </w:r>
      <w:r w:rsidR="001A349A">
        <w:rPr>
          <w:rFonts w:hint="eastAsia"/>
        </w:rPr>
        <w:t>形成了较为一致</w:t>
      </w:r>
      <w:r w:rsidR="00115B04">
        <w:rPr>
          <w:rFonts w:hint="eastAsia"/>
        </w:rPr>
        <w:t>看法，以土木工程为核心，通过与其他学科进行交叉融合，培养社会需要的智能建造人才。</w:t>
      </w:r>
      <w:r w:rsidR="001A349A">
        <w:rPr>
          <w:rFonts w:hint="eastAsia"/>
        </w:rPr>
        <w:t>但是，在需要与哪些学科进行融合上存在着一定的差异。</w:t>
      </w:r>
    </w:p>
    <w:p w:rsidR="00C121CC" w:rsidRDefault="006E0843" w:rsidP="000F610C">
      <w:pPr>
        <w:spacing w:line="360" w:lineRule="exact"/>
        <w:ind w:firstLine="420"/>
      </w:pPr>
      <w:r>
        <w:rPr>
          <w:rFonts w:hint="eastAsia"/>
        </w:rPr>
        <w:t>（3）</w:t>
      </w:r>
      <w:r w:rsidR="00C410BD">
        <w:rPr>
          <w:rFonts w:hint="eastAsia"/>
        </w:rPr>
        <w:t>在课程的设置上，</w:t>
      </w:r>
      <w:r w:rsidR="00552ED1">
        <w:rPr>
          <w:rFonts w:hint="eastAsia"/>
        </w:rPr>
        <w:t>各校人才培养方案的学科基础课、专业课及实践环节的设置上存在着较大的差异</w:t>
      </w:r>
      <w:r w:rsidR="00362558">
        <w:rPr>
          <w:rFonts w:hint="eastAsia"/>
        </w:rPr>
        <w:t>，专业的核心模式正在逐步形成中</w:t>
      </w:r>
      <w:r w:rsidR="00DD16BC">
        <w:rPr>
          <w:rFonts w:hint="eastAsia"/>
        </w:rPr>
        <w:t>，但是需要进一步凝练，</w:t>
      </w:r>
      <w:r w:rsidR="00087CE4">
        <w:rPr>
          <w:rFonts w:hint="eastAsia"/>
        </w:rPr>
        <w:t>以形成较为明确、清晰、系统的人才专业能力培养体系</w:t>
      </w:r>
      <w:r w:rsidR="00476AFC">
        <w:rPr>
          <w:rFonts w:hint="eastAsia"/>
        </w:rPr>
        <w:t>。</w:t>
      </w:r>
      <w:r w:rsidR="00831CCA">
        <w:rPr>
          <w:rFonts w:hint="eastAsia"/>
        </w:rPr>
        <w:t>在课程开设方面，</w:t>
      </w:r>
      <w:r w:rsidR="00476AFC">
        <w:rPr>
          <w:rFonts w:hint="eastAsia"/>
        </w:rPr>
        <w:t>比较</w:t>
      </w:r>
      <w:r w:rsidR="00831CCA">
        <w:rPr>
          <w:rFonts w:hint="eastAsia"/>
        </w:rPr>
        <w:t>通行</w:t>
      </w:r>
      <w:r w:rsidR="00476AFC">
        <w:rPr>
          <w:rFonts w:hint="eastAsia"/>
        </w:rPr>
        <w:t>的做法包括设置专门针对智能建造专业的课程及实践环节</w:t>
      </w:r>
      <w:r w:rsidR="00EF25CE">
        <w:rPr>
          <w:rFonts w:hint="eastAsia"/>
        </w:rPr>
        <w:t>；根据智能建造的技术特征，</w:t>
      </w:r>
      <w:r w:rsidR="00476AFC">
        <w:rPr>
          <w:rFonts w:hint="eastAsia"/>
        </w:rPr>
        <w:t>引入其他相关专业的课程及实践环节</w:t>
      </w:r>
      <w:r w:rsidR="00B12A88">
        <w:rPr>
          <w:rFonts w:hint="eastAsia"/>
        </w:rPr>
        <w:t>；通过融入智能建造技术，对原有的土木工程专业课程及实践环节进行提升改造。</w:t>
      </w:r>
    </w:p>
    <w:p w:rsidR="00C121CC" w:rsidRDefault="00C6016E" w:rsidP="000F610C">
      <w:pPr>
        <w:spacing w:line="360" w:lineRule="exact"/>
        <w:ind w:firstLine="420"/>
      </w:pPr>
      <w:r>
        <w:rPr>
          <w:rFonts w:hint="eastAsia"/>
        </w:rPr>
        <w:t>本文的研究依据的是20所院校的智能建造人才培养方案，虽具有一定的代表性，但覆盖面还是有待进一步提升。</w:t>
      </w:r>
      <w:r w:rsidR="00D002F4">
        <w:rPr>
          <w:rFonts w:hint="eastAsia"/>
        </w:rPr>
        <w:t>同时，伴随着社会经济的迅速发展，</w:t>
      </w:r>
      <w:r w:rsidR="00EC0C3D">
        <w:rPr>
          <w:rFonts w:hint="eastAsia"/>
        </w:rPr>
        <w:t>智能建造领域</w:t>
      </w:r>
      <w:r w:rsidR="005A158F">
        <w:rPr>
          <w:rFonts w:hint="eastAsia"/>
        </w:rPr>
        <w:t>在不断的发生变化，因此，对人才的需要也会进一步提高。</w:t>
      </w:r>
      <w:r w:rsidR="00E90D9D">
        <w:rPr>
          <w:rFonts w:hint="eastAsia"/>
        </w:rPr>
        <w:t>需要对这一变化持续关注，</w:t>
      </w:r>
      <w:r w:rsidR="00134BEF">
        <w:rPr>
          <w:rFonts w:hint="eastAsia"/>
        </w:rPr>
        <w:t>不断</w:t>
      </w:r>
      <w:r w:rsidR="006520A4">
        <w:rPr>
          <w:rFonts w:hint="eastAsia"/>
        </w:rPr>
        <w:t>的进行动态调整、</w:t>
      </w:r>
      <w:r w:rsidR="00134BEF">
        <w:rPr>
          <w:rFonts w:hint="eastAsia"/>
        </w:rPr>
        <w:t>优化</w:t>
      </w:r>
      <w:r w:rsidR="006520A4">
        <w:rPr>
          <w:rFonts w:hint="eastAsia"/>
        </w:rPr>
        <w:t>，以满足社会对</w:t>
      </w:r>
      <w:r w:rsidR="00134BEF">
        <w:rPr>
          <w:rFonts w:hint="eastAsia"/>
        </w:rPr>
        <w:t>智能建造人才</w:t>
      </w:r>
      <w:r w:rsidR="00253DDD">
        <w:rPr>
          <w:rFonts w:hint="eastAsia"/>
        </w:rPr>
        <w:t>需求。</w:t>
      </w:r>
    </w:p>
    <w:p w:rsidR="00C121CC" w:rsidRDefault="00C121CC"/>
    <w:p w:rsidR="0064042C" w:rsidRDefault="00122A9E">
      <w:r>
        <w:rPr>
          <w:rFonts w:hint="eastAsia"/>
        </w:rPr>
        <w:t>参考文献</w:t>
      </w:r>
    </w:p>
    <w:p w:rsidR="00806DA2" w:rsidRDefault="00806DA2"/>
    <w:p w:rsidR="00806DA2" w:rsidRPr="007F0EC2" w:rsidRDefault="009C180F">
      <w:pPr>
        <w:rPr>
          <w:rFonts w:ascii="KaiTi" w:eastAsia="KaiTi" w:hAnsi="KaiTi"/>
        </w:rPr>
      </w:pPr>
      <w:r w:rsidRPr="007F0EC2">
        <w:rPr>
          <w:rFonts w:ascii="KaiTi" w:eastAsia="KaiTi" w:hAnsi="KaiTi" w:hint="eastAsia"/>
        </w:rPr>
        <w:t>【1】</w:t>
      </w:r>
      <w:r w:rsidR="005A2AB9" w:rsidRPr="007F0EC2">
        <w:rPr>
          <w:rFonts w:ascii="KaiTi" w:eastAsia="KaiTi" w:hAnsi="KaiTi"/>
        </w:rPr>
        <w:t>“新工科”建设复旦共识[J].高等工程教育研究,2017,(01):</w:t>
      </w:r>
    </w:p>
    <w:p w:rsidR="00806DA2" w:rsidRPr="007F0EC2" w:rsidRDefault="009C180F">
      <w:pPr>
        <w:rPr>
          <w:rFonts w:ascii="KaiTi" w:eastAsia="KaiTi" w:hAnsi="KaiTi"/>
        </w:rPr>
      </w:pPr>
      <w:r w:rsidRPr="007F0EC2">
        <w:rPr>
          <w:rFonts w:ascii="KaiTi" w:eastAsia="KaiTi" w:hAnsi="KaiTi" w:hint="eastAsia"/>
        </w:rPr>
        <w:t>【2】</w:t>
      </w:r>
      <w:r w:rsidR="00F65086" w:rsidRPr="007F0EC2">
        <w:rPr>
          <w:rFonts w:ascii="KaiTi" w:eastAsia="KaiTi" w:hAnsi="KaiTi"/>
        </w:rPr>
        <w:t>李政道,张丽梅,</w:t>
      </w:r>
      <w:proofErr w:type="gramStart"/>
      <w:r w:rsidR="00F65086" w:rsidRPr="007F0EC2">
        <w:rPr>
          <w:rFonts w:ascii="KaiTi" w:eastAsia="KaiTi" w:hAnsi="KaiTi"/>
        </w:rPr>
        <w:t>赖旭露等</w:t>
      </w:r>
      <w:proofErr w:type="gramEnd"/>
      <w:r w:rsidR="00F65086" w:rsidRPr="007F0EC2">
        <w:rPr>
          <w:rFonts w:ascii="KaiTi" w:eastAsia="KaiTi" w:hAnsi="KaiTi"/>
        </w:rPr>
        <w:t>.新工科背景下高校BIM技术课程建设的实践与思考[J].工程经济,2021,31(01):</w:t>
      </w:r>
    </w:p>
    <w:p w:rsidR="00806DA2" w:rsidRPr="007F0EC2" w:rsidRDefault="009C180F">
      <w:pPr>
        <w:rPr>
          <w:rFonts w:ascii="KaiTi" w:eastAsia="KaiTi" w:hAnsi="KaiTi"/>
        </w:rPr>
      </w:pPr>
      <w:r w:rsidRPr="007F0EC2">
        <w:rPr>
          <w:rFonts w:ascii="KaiTi" w:eastAsia="KaiTi" w:hAnsi="KaiTi" w:hint="eastAsia"/>
        </w:rPr>
        <w:t>【3】</w:t>
      </w:r>
      <w:r w:rsidR="003A218B" w:rsidRPr="007F0EC2">
        <w:rPr>
          <w:rFonts w:ascii="KaiTi" w:eastAsia="KaiTi" w:hAnsi="KaiTi"/>
        </w:rPr>
        <w:t>张恒,郑兵云,唐根丽等.面向智能建造的工程管理专业BIM实践教学[J].高等工程教育研究,2021,(03):</w:t>
      </w:r>
    </w:p>
    <w:p w:rsidR="00806DA2" w:rsidRPr="007F0EC2" w:rsidRDefault="009C180F">
      <w:pPr>
        <w:rPr>
          <w:rFonts w:ascii="KaiTi" w:eastAsia="KaiTi" w:hAnsi="KaiTi"/>
        </w:rPr>
      </w:pPr>
      <w:r w:rsidRPr="007F0EC2">
        <w:rPr>
          <w:rFonts w:ascii="KaiTi" w:eastAsia="KaiTi" w:hAnsi="KaiTi" w:hint="eastAsia"/>
        </w:rPr>
        <w:t>【4】</w:t>
      </w:r>
      <w:r w:rsidR="00FB1269" w:rsidRPr="007F0EC2">
        <w:rPr>
          <w:rFonts w:ascii="KaiTi" w:eastAsia="KaiTi" w:hAnsi="KaiTi"/>
        </w:rPr>
        <w:t>智能建造推动建筑产业变革[J].低温建筑技术,2019,41(06):</w:t>
      </w:r>
    </w:p>
    <w:p w:rsidR="00806DA2" w:rsidRPr="007F0EC2" w:rsidRDefault="009C180F">
      <w:pPr>
        <w:rPr>
          <w:rFonts w:ascii="KaiTi" w:eastAsia="KaiTi" w:hAnsi="KaiTi"/>
        </w:rPr>
      </w:pPr>
      <w:r w:rsidRPr="007F0EC2">
        <w:rPr>
          <w:rFonts w:ascii="KaiTi" w:eastAsia="KaiTi" w:hAnsi="KaiTi" w:hint="eastAsia"/>
        </w:rPr>
        <w:t>【5】</w:t>
      </w:r>
      <w:proofErr w:type="gramStart"/>
      <w:r w:rsidR="00A656CB" w:rsidRPr="007F0EC2">
        <w:rPr>
          <w:rFonts w:ascii="KaiTi" w:eastAsia="KaiTi" w:hAnsi="KaiTi"/>
        </w:rPr>
        <w:t>丁烈云</w:t>
      </w:r>
      <w:proofErr w:type="gramEnd"/>
      <w:r w:rsidR="00A656CB" w:rsidRPr="007F0EC2">
        <w:rPr>
          <w:rFonts w:ascii="KaiTi" w:eastAsia="KaiTi" w:hAnsi="KaiTi"/>
        </w:rPr>
        <w:t>.智能建造创新型工程科技人才培养的思考[J].高等工程教育研究,2019,(05):</w:t>
      </w:r>
    </w:p>
    <w:p w:rsidR="009C180F" w:rsidRPr="007F0EC2" w:rsidRDefault="009C180F">
      <w:pPr>
        <w:rPr>
          <w:rFonts w:ascii="KaiTi" w:eastAsia="KaiTi" w:hAnsi="KaiTi"/>
        </w:rPr>
      </w:pPr>
      <w:r w:rsidRPr="007F0EC2">
        <w:rPr>
          <w:rFonts w:ascii="KaiTi" w:eastAsia="KaiTi" w:hAnsi="KaiTi" w:hint="eastAsia"/>
        </w:rPr>
        <w:t>【6】</w:t>
      </w:r>
      <w:r w:rsidR="00A656CB" w:rsidRPr="007F0EC2">
        <w:rPr>
          <w:rFonts w:ascii="KaiTi" w:eastAsia="KaiTi" w:hAnsi="KaiTi"/>
        </w:rPr>
        <w:t>王严淞.论我国一流大学本科人才培养目标[J].中国高教研究,2016,(08):</w:t>
      </w:r>
    </w:p>
    <w:p w:rsidR="009C180F" w:rsidRDefault="00FE3A08">
      <w:pPr>
        <w:rPr>
          <w:rFonts w:ascii="KaiTi" w:eastAsia="KaiTi" w:hAnsi="KaiTi"/>
        </w:rPr>
      </w:pPr>
      <w:r w:rsidRPr="007F0EC2">
        <w:rPr>
          <w:rFonts w:ascii="KaiTi" w:eastAsia="KaiTi" w:hAnsi="KaiTi" w:hint="eastAsia"/>
        </w:rPr>
        <w:t>【7】</w:t>
      </w:r>
      <w:r w:rsidRPr="007F0EC2">
        <w:rPr>
          <w:rFonts w:ascii="KaiTi" w:eastAsia="KaiTi" w:hAnsi="KaiTi"/>
        </w:rPr>
        <w:t>钱乐祥,</w:t>
      </w:r>
      <w:proofErr w:type="gramStart"/>
      <w:r w:rsidRPr="007F0EC2">
        <w:rPr>
          <w:rFonts w:ascii="KaiTi" w:eastAsia="KaiTi" w:hAnsi="KaiTi"/>
        </w:rPr>
        <w:t>杨现坤</w:t>
      </w:r>
      <w:proofErr w:type="gramEnd"/>
      <w:r w:rsidRPr="007F0EC2">
        <w:rPr>
          <w:rFonts w:ascii="KaiTi" w:eastAsia="KaiTi" w:hAnsi="KaiTi"/>
        </w:rPr>
        <w:t>.地理科学专业人才培养方案与课程体系比较研究[J].高等理科教育,2020,(06):</w:t>
      </w:r>
    </w:p>
    <w:p w:rsidR="007F0EC2" w:rsidRDefault="007F0EC2">
      <w:pPr>
        <w:rPr>
          <w:rFonts w:ascii="KaiTi" w:eastAsia="KaiTi" w:hAnsi="KaiTi"/>
        </w:rPr>
      </w:pPr>
    </w:p>
    <w:p w:rsidR="007F0EC2" w:rsidRDefault="007F0EC2">
      <w:pPr>
        <w:rPr>
          <w:rFonts w:ascii="KaiTi" w:eastAsia="KaiTi" w:hAnsi="KaiTi"/>
        </w:rPr>
      </w:pPr>
      <w:r>
        <w:rPr>
          <w:rFonts w:ascii="KaiTi" w:eastAsia="KaiTi" w:hAnsi="KaiTi" w:hint="eastAsia"/>
        </w:rPr>
        <w:t>基金项目：华侨大学“新工科”示范课堂建设项目（无编号）</w:t>
      </w:r>
    </w:p>
    <w:p w:rsidR="00E447AA" w:rsidRPr="007F0EC2" w:rsidRDefault="00E447AA">
      <w:pPr>
        <w:rPr>
          <w:rFonts w:ascii="KaiTi" w:eastAsia="KaiTi" w:hAnsi="KaiTi" w:hint="eastAsia"/>
        </w:rPr>
      </w:pPr>
      <w:r>
        <w:rPr>
          <w:rFonts w:ascii="KaiTi" w:eastAsia="KaiTi" w:hAnsi="KaiTi" w:hint="eastAsia"/>
        </w:rPr>
        <w:t>[作者简介</w:t>
      </w:r>
      <w:r>
        <w:rPr>
          <w:rFonts w:ascii="KaiTi" w:eastAsia="KaiTi" w:hAnsi="KaiTi"/>
        </w:rPr>
        <w:t>]</w:t>
      </w:r>
      <w:r>
        <w:rPr>
          <w:rFonts w:ascii="KaiTi" w:eastAsia="KaiTi" w:hAnsi="KaiTi" w:hint="eastAsia"/>
        </w:rPr>
        <w:t>张泳（1973-），</w:t>
      </w:r>
      <w:r w:rsidR="003A77F3">
        <w:rPr>
          <w:rFonts w:ascii="KaiTi" w:eastAsia="KaiTi" w:hAnsi="KaiTi" w:hint="eastAsia"/>
        </w:rPr>
        <w:t>男，河北南宫人，硕士，华侨大学土木工程学院副教授，主要从事智能建造、工程管理领域教学与科研工作。</w:t>
      </w:r>
      <w:bookmarkStart w:id="1" w:name="_GoBack"/>
      <w:bookmarkEnd w:id="1"/>
    </w:p>
    <w:p w:rsidR="00FE3A08" w:rsidRDefault="00FE3A08" w:rsidP="00375224">
      <w:pPr>
        <w:jc w:val="center"/>
        <w:rPr>
          <w:rFonts w:ascii="Times New Roman" w:hAnsi="Times New Roman" w:cs="Times New Roman"/>
          <w:sz w:val="30"/>
          <w:szCs w:val="30"/>
        </w:rPr>
      </w:pPr>
    </w:p>
    <w:p w:rsidR="00FE3A08" w:rsidRDefault="00FE3A08" w:rsidP="00375224">
      <w:pPr>
        <w:jc w:val="center"/>
        <w:rPr>
          <w:rFonts w:ascii="Times New Roman" w:hAnsi="Times New Roman" w:cs="Times New Roman"/>
          <w:sz w:val="30"/>
          <w:szCs w:val="30"/>
        </w:rPr>
      </w:pPr>
    </w:p>
    <w:p w:rsidR="00806DA2" w:rsidRPr="00375224" w:rsidRDefault="00806DA2" w:rsidP="00375224">
      <w:pPr>
        <w:jc w:val="center"/>
        <w:rPr>
          <w:rFonts w:ascii="Times New Roman" w:hAnsi="Times New Roman" w:cs="Times New Roman"/>
          <w:sz w:val="30"/>
          <w:szCs w:val="30"/>
        </w:rPr>
      </w:pPr>
      <w:r w:rsidRPr="00375224">
        <w:rPr>
          <w:rFonts w:ascii="Times New Roman" w:hAnsi="Times New Roman" w:cs="Times New Roman"/>
          <w:sz w:val="30"/>
          <w:szCs w:val="30"/>
        </w:rPr>
        <w:lastRenderedPageBreak/>
        <w:t xml:space="preserve">The Development of Intelligent Construction Major </w:t>
      </w:r>
      <w:r w:rsidR="00A60A84">
        <w:rPr>
          <w:rFonts w:ascii="Times New Roman" w:hAnsi="Times New Roman" w:cs="Times New Roman" w:hint="eastAsia"/>
          <w:sz w:val="30"/>
          <w:szCs w:val="30"/>
        </w:rPr>
        <w:t>Talent</w:t>
      </w:r>
      <w:r w:rsidR="00A60A84">
        <w:rPr>
          <w:rFonts w:ascii="Times New Roman" w:hAnsi="Times New Roman" w:cs="Times New Roman"/>
          <w:sz w:val="30"/>
          <w:szCs w:val="30"/>
        </w:rPr>
        <w:t xml:space="preserve"> </w:t>
      </w:r>
      <w:r w:rsidRPr="00375224">
        <w:rPr>
          <w:rFonts w:ascii="Times New Roman" w:hAnsi="Times New Roman" w:cs="Times New Roman"/>
          <w:sz w:val="30"/>
          <w:szCs w:val="30"/>
        </w:rPr>
        <w:t xml:space="preserve">Training </w:t>
      </w:r>
      <w:r w:rsidR="001B1209" w:rsidRPr="00375224">
        <w:rPr>
          <w:rFonts w:ascii="Times New Roman" w:hAnsi="Times New Roman" w:cs="Times New Roman"/>
          <w:sz w:val="30"/>
          <w:szCs w:val="30"/>
        </w:rPr>
        <w:t>Programs</w:t>
      </w:r>
      <w:r w:rsidR="001B1209">
        <w:rPr>
          <w:rFonts w:ascii="Times New Roman" w:hAnsi="Times New Roman" w:cs="Times New Roman" w:hint="eastAsia"/>
          <w:sz w:val="30"/>
          <w:szCs w:val="30"/>
        </w:rPr>
        <w:t xml:space="preserve"> </w:t>
      </w:r>
      <w:r w:rsidR="00A60A84">
        <w:rPr>
          <w:rFonts w:ascii="Times New Roman" w:hAnsi="Times New Roman" w:cs="Times New Roman" w:hint="eastAsia"/>
          <w:sz w:val="30"/>
          <w:szCs w:val="30"/>
        </w:rPr>
        <w:t>U</w:t>
      </w:r>
      <w:r w:rsidR="00BC008A" w:rsidRPr="00BC008A">
        <w:rPr>
          <w:rFonts w:ascii="Times New Roman" w:hAnsi="Times New Roman" w:cs="Times New Roman"/>
          <w:sz w:val="30"/>
          <w:szCs w:val="30"/>
        </w:rPr>
        <w:t>nder the Background of Emerging Engineering</w:t>
      </w:r>
      <w:r w:rsidR="001B1209">
        <w:rPr>
          <w:rFonts w:ascii="Times New Roman" w:hAnsi="Times New Roman" w:cs="Times New Roman"/>
          <w:sz w:val="30"/>
          <w:szCs w:val="30"/>
        </w:rPr>
        <w:t xml:space="preserve"> </w:t>
      </w:r>
      <w:r w:rsidR="00BC008A" w:rsidRPr="00BC008A">
        <w:rPr>
          <w:rFonts w:ascii="Times New Roman" w:hAnsi="Times New Roman" w:cs="Times New Roman"/>
          <w:sz w:val="30"/>
          <w:szCs w:val="30"/>
        </w:rPr>
        <w:t>Education</w:t>
      </w:r>
    </w:p>
    <w:p w:rsidR="00806DA2" w:rsidRPr="00375224" w:rsidRDefault="00806DA2" w:rsidP="00375224">
      <w:pPr>
        <w:jc w:val="center"/>
        <w:rPr>
          <w:rFonts w:ascii="Times New Roman" w:hAnsi="Times New Roman" w:cs="Times New Roman"/>
          <w:sz w:val="30"/>
          <w:szCs w:val="30"/>
        </w:rPr>
      </w:pPr>
      <w:r w:rsidRPr="00375224">
        <w:rPr>
          <w:rFonts w:ascii="Times New Roman" w:hAnsi="Times New Roman" w:cs="Times New Roman"/>
          <w:sz w:val="30"/>
          <w:szCs w:val="30"/>
        </w:rPr>
        <w:t>--Analysis Based on Data from 20 Institutions</w:t>
      </w:r>
    </w:p>
    <w:p w:rsidR="00806DA2" w:rsidRPr="00375224" w:rsidRDefault="00806DA2" w:rsidP="00375224">
      <w:pPr>
        <w:jc w:val="center"/>
        <w:rPr>
          <w:rFonts w:ascii="Times New Roman" w:hAnsi="Times New Roman" w:cs="Times New Roman"/>
        </w:rPr>
      </w:pPr>
      <w:r w:rsidRPr="00375224">
        <w:rPr>
          <w:rFonts w:ascii="Times New Roman" w:hAnsi="Times New Roman" w:cs="Times New Roman"/>
        </w:rPr>
        <w:t>ZHANG Yan FU Jun</w:t>
      </w:r>
    </w:p>
    <w:p w:rsidR="00806DA2" w:rsidRPr="00375224" w:rsidRDefault="00806DA2" w:rsidP="004F34D1">
      <w:pPr>
        <w:jc w:val="center"/>
        <w:rPr>
          <w:rFonts w:ascii="Times New Roman" w:hAnsi="Times New Roman" w:cs="Times New Roman"/>
        </w:rPr>
      </w:pPr>
      <w:r w:rsidRPr="00375224">
        <w:rPr>
          <w:rFonts w:ascii="Times New Roman" w:hAnsi="Times New Roman" w:cs="Times New Roman"/>
        </w:rPr>
        <w:t>(</w:t>
      </w:r>
      <w:r w:rsidR="004F34D1">
        <w:rPr>
          <w:rFonts w:ascii="Times New Roman" w:hAnsi="Times New Roman" w:cs="Times New Roman"/>
        </w:rPr>
        <w:t xml:space="preserve"> </w:t>
      </w:r>
      <w:r w:rsidR="004F34D1">
        <w:rPr>
          <w:rFonts w:ascii="Times New Roman" w:hAnsi="Times New Roman" w:cs="Times New Roman" w:hint="eastAsia"/>
        </w:rPr>
        <w:t>College</w:t>
      </w:r>
      <w:r w:rsidR="004F34D1" w:rsidRPr="00375224">
        <w:rPr>
          <w:rFonts w:ascii="Times New Roman" w:hAnsi="Times New Roman" w:cs="Times New Roman"/>
        </w:rPr>
        <w:t xml:space="preserve"> </w:t>
      </w:r>
      <w:r w:rsidR="004F34D1">
        <w:rPr>
          <w:rFonts w:ascii="Times New Roman" w:hAnsi="Times New Roman" w:cs="Times New Roman"/>
        </w:rPr>
        <w:t>of</w:t>
      </w:r>
      <w:r w:rsidR="004F34D1">
        <w:rPr>
          <w:rFonts w:ascii="Times New Roman" w:hAnsi="Times New Roman" w:cs="Times New Roman" w:hint="eastAsia"/>
        </w:rPr>
        <w:t xml:space="preserve"> </w:t>
      </w:r>
      <w:r w:rsidRPr="00375224">
        <w:rPr>
          <w:rFonts w:ascii="Times New Roman" w:hAnsi="Times New Roman" w:cs="Times New Roman"/>
        </w:rPr>
        <w:t>Civil Engineering</w:t>
      </w:r>
      <w:r w:rsidR="008363B3">
        <w:rPr>
          <w:rFonts w:ascii="Times New Roman" w:hAnsi="Times New Roman" w:cs="Times New Roman"/>
        </w:rPr>
        <w:t xml:space="preserve">, </w:t>
      </w:r>
      <w:r w:rsidR="00375224">
        <w:rPr>
          <w:rFonts w:ascii="Times New Roman" w:hAnsi="Times New Roman" w:cs="Times New Roman" w:hint="eastAsia"/>
        </w:rPr>
        <w:t>Huaqiao</w:t>
      </w:r>
      <w:r w:rsidRPr="00375224">
        <w:rPr>
          <w:rFonts w:ascii="Times New Roman" w:hAnsi="Times New Roman" w:cs="Times New Roman"/>
        </w:rPr>
        <w:t xml:space="preserve"> University</w:t>
      </w:r>
      <w:r w:rsidR="008363B3">
        <w:rPr>
          <w:rFonts w:ascii="Times New Roman" w:hAnsi="Times New Roman" w:cs="Times New Roman"/>
        </w:rPr>
        <w:t xml:space="preserve">, </w:t>
      </w:r>
      <w:r w:rsidRPr="00375224">
        <w:rPr>
          <w:rFonts w:ascii="Times New Roman" w:hAnsi="Times New Roman" w:cs="Times New Roman"/>
        </w:rPr>
        <w:t>Xiamen, Fujian 362021)</w:t>
      </w:r>
    </w:p>
    <w:p w:rsidR="00806DA2" w:rsidRPr="00375224" w:rsidRDefault="00806DA2" w:rsidP="00806DA2">
      <w:pPr>
        <w:rPr>
          <w:rFonts w:ascii="Times New Roman" w:hAnsi="Times New Roman" w:cs="Times New Roman"/>
        </w:rPr>
      </w:pPr>
      <w:r w:rsidRPr="00375224">
        <w:rPr>
          <w:rFonts w:ascii="Times New Roman" w:hAnsi="Times New Roman" w:cs="Times New Roman"/>
          <w:b/>
        </w:rPr>
        <w:t xml:space="preserve">Abstract: </w:t>
      </w:r>
      <w:r w:rsidRPr="00375224">
        <w:rPr>
          <w:rFonts w:ascii="Times New Roman" w:hAnsi="Times New Roman" w:cs="Times New Roman"/>
        </w:rPr>
        <w:t>The training programs of intelligent construction in 20 institutions were collected and analyzed in depth in terms of talent cultivation objectives, total credits and years of study requirements, major disciplines, basic and specialized courses, and practical sessions. In terms of talent cultivation objectives, each school has relatively consistent views. The total credits and years of study required for graduation can fully reflect the characteristics of each school. There are some differences in the understanding of the main disciplines. In the setting of basic courses, specialized courses and practical links, a clearer curriculum model has been formed, but there are still big differences in the curriculum between schools, and from a long-term perspective, further condensation is needed to form a clearer, clearer and more systematic system for training talents' professional abilities.</w:t>
      </w:r>
    </w:p>
    <w:p w:rsidR="00806DA2" w:rsidRPr="00375224" w:rsidRDefault="00806DA2" w:rsidP="00806DA2">
      <w:pPr>
        <w:rPr>
          <w:rFonts w:ascii="Times New Roman" w:hAnsi="Times New Roman" w:cs="Times New Roman"/>
        </w:rPr>
      </w:pPr>
      <w:r w:rsidRPr="00375224">
        <w:rPr>
          <w:rFonts w:ascii="Times New Roman" w:hAnsi="Times New Roman" w:cs="Times New Roman"/>
        </w:rPr>
        <w:t>Keywords: intelligent construction profession; talent training program; curriculum system optimization</w:t>
      </w:r>
    </w:p>
    <w:sectPr w:rsidR="00806DA2" w:rsidRPr="003752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910" w:rsidRDefault="00935910" w:rsidP="00836800">
      <w:r>
        <w:separator/>
      </w:r>
    </w:p>
  </w:endnote>
  <w:endnote w:type="continuationSeparator" w:id="0">
    <w:p w:rsidR="00935910" w:rsidRDefault="00935910" w:rsidP="0083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KaiTi">
    <w:altName w:val="KaiTi"/>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910" w:rsidRDefault="00935910" w:rsidP="00836800">
      <w:r>
        <w:separator/>
      </w:r>
    </w:p>
  </w:footnote>
  <w:footnote w:type="continuationSeparator" w:id="0">
    <w:p w:rsidR="00935910" w:rsidRDefault="00935910" w:rsidP="00836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DB"/>
    <w:rsid w:val="00012F50"/>
    <w:rsid w:val="00015029"/>
    <w:rsid w:val="00017955"/>
    <w:rsid w:val="000258B6"/>
    <w:rsid w:val="00027E0F"/>
    <w:rsid w:val="00040F42"/>
    <w:rsid w:val="00047121"/>
    <w:rsid w:val="00051FC7"/>
    <w:rsid w:val="000606FF"/>
    <w:rsid w:val="000713AD"/>
    <w:rsid w:val="00087CE4"/>
    <w:rsid w:val="0009593F"/>
    <w:rsid w:val="000A29F7"/>
    <w:rsid w:val="000C1716"/>
    <w:rsid w:val="000C435C"/>
    <w:rsid w:val="000C4EC5"/>
    <w:rsid w:val="000C7AFB"/>
    <w:rsid w:val="000D4A00"/>
    <w:rsid w:val="000D64E1"/>
    <w:rsid w:val="000E007B"/>
    <w:rsid w:val="000E4B80"/>
    <w:rsid w:val="000E6022"/>
    <w:rsid w:val="000F610C"/>
    <w:rsid w:val="000F7006"/>
    <w:rsid w:val="001001C8"/>
    <w:rsid w:val="00102F07"/>
    <w:rsid w:val="00104B0E"/>
    <w:rsid w:val="001063D2"/>
    <w:rsid w:val="001075C4"/>
    <w:rsid w:val="00107733"/>
    <w:rsid w:val="001139F3"/>
    <w:rsid w:val="00115B04"/>
    <w:rsid w:val="00116B3C"/>
    <w:rsid w:val="001226C7"/>
    <w:rsid w:val="00122A9E"/>
    <w:rsid w:val="00133B86"/>
    <w:rsid w:val="00134BEF"/>
    <w:rsid w:val="00141996"/>
    <w:rsid w:val="0015663E"/>
    <w:rsid w:val="001566FF"/>
    <w:rsid w:val="00157BDF"/>
    <w:rsid w:val="00170D39"/>
    <w:rsid w:val="00180D59"/>
    <w:rsid w:val="00191EF9"/>
    <w:rsid w:val="001A1A98"/>
    <w:rsid w:val="001A349A"/>
    <w:rsid w:val="001A4F1B"/>
    <w:rsid w:val="001B1209"/>
    <w:rsid w:val="001B1713"/>
    <w:rsid w:val="001C3BB8"/>
    <w:rsid w:val="001C7CB9"/>
    <w:rsid w:val="001D521C"/>
    <w:rsid w:val="001D5F8A"/>
    <w:rsid w:val="001E2DC2"/>
    <w:rsid w:val="001E4F82"/>
    <w:rsid w:val="001E7298"/>
    <w:rsid w:val="002042C5"/>
    <w:rsid w:val="002169DE"/>
    <w:rsid w:val="00225EFC"/>
    <w:rsid w:val="00230583"/>
    <w:rsid w:val="002324A0"/>
    <w:rsid w:val="002340BD"/>
    <w:rsid w:val="0024092F"/>
    <w:rsid w:val="002466D4"/>
    <w:rsid w:val="00251364"/>
    <w:rsid w:val="00251DB3"/>
    <w:rsid w:val="00253DDD"/>
    <w:rsid w:val="00261BCD"/>
    <w:rsid w:val="00264131"/>
    <w:rsid w:val="002709F2"/>
    <w:rsid w:val="00281164"/>
    <w:rsid w:val="00283EA2"/>
    <w:rsid w:val="00286137"/>
    <w:rsid w:val="0029231A"/>
    <w:rsid w:val="00296BE7"/>
    <w:rsid w:val="002A007E"/>
    <w:rsid w:val="002A7650"/>
    <w:rsid w:val="002B1AA0"/>
    <w:rsid w:val="002B5112"/>
    <w:rsid w:val="002B7534"/>
    <w:rsid w:val="002C664B"/>
    <w:rsid w:val="002D3A52"/>
    <w:rsid w:val="002D4617"/>
    <w:rsid w:val="002D484B"/>
    <w:rsid w:val="002E0C86"/>
    <w:rsid w:val="002F546A"/>
    <w:rsid w:val="00302582"/>
    <w:rsid w:val="00306821"/>
    <w:rsid w:val="003129E8"/>
    <w:rsid w:val="00313E0E"/>
    <w:rsid w:val="00313F71"/>
    <w:rsid w:val="003144A5"/>
    <w:rsid w:val="00316579"/>
    <w:rsid w:val="0032158D"/>
    <w:rsid w:val="0032590B"/>
    <w:rsid w:val="00326077"/>
    <w:rsid w:val="00331A97"/>
    <w:rsid w:val="00332C13"/>
    <w:rsid w:val="0035324D"/>
    <w:rsid w:val="00362558"/>
    <w:rsid w:val="00362FB1"/>
    <w:rsid w:val="003633D7"/>
    <w:rsid w:val="003634BB"/>
    <w:rsid w:val="003674FF"/>
    <w:rsid w:val="00375224"/>
    <w:rsid w:val="00383C99"/>
    <w:rsid w:val="00390053"/>
    <w:rsid w:val="0039083D"/>
    <w:rsid w:val="00397235"/>
    <w:rsid w:val="003A0910"/>
    <w:rsid w:val="003A0CED"/>
    <w:rsid w:val="003A218B"/>
    <w:rsid w:val="003A2745"/>
    <w:rsid w:val="003A77F3"/>
    <w:rsid w:val="003C26D5"/>
    <w:rsid w:val="003F4C43"/>
    <w:rsid w:val="00403AEF"/>
    <w:rsid w:val="00405406"/>
    <w:rsid w:val="004072DD"/>
    <w:rsid w:val="004125F3"/>
    <w:rsid w:val="00414734"/>
    <w:rsid w:val="00416D6B"/>
    <w:rsid w:val="00427CFB"/>
    <w:rsid w:val="00474314"/>
    <w:rsid w:val="00476AFC"/>
    <w:rsid w:val="00481224"/>
    <w:rsid w:val="0049077E"/>
    <w:rsid w:val="00491152"/>
    <w:rsid w:val="00494007"/>
    <w:rsid w:val="00495CDA"/>
    <w:rsid w:val="004A0D7B"/>
    <w:rsid w:val="004A1C5D"/>
    <w:rsid w:val="004A4D72"/>
    <w:rsid w:val="004B11F1"/>
    <w:rsid w:val="004B3A3B"/>
    <w:rsid w:val="004C60EA"/>
    <w:rsid w:val="004D3740"/>
    <w:rsid w:val="004E2E39"/>
    <w:rsid w:val="004E30A0"/>
    <w:rsid w:val="004E3221"/>
    <w:rsid w:val="004F34D1"/>
    <w:rsid w:val="004F3660"/>
    <w:rsid w:val="004F56A7"/>
    <w:rsid w:val="005024ED"/>
    <w:rsid w:val="0050463C"/>
    <w:rsid w:val="00513F74"/>
    <w:rsid w:val="005140E5"/>
    <w:rsid w:val="005165EC"/>
    <w:rsid w:val="005166B8"/>
    <w:rsid w:val="00516A4B"/>
    <w:rsid w:val="0052120D"/>
    <w:rsid w:val="00526D4A"/>
    <w:rsid w:val="00530A38"/>
    <w:rsid w:val="00535A24"/>
    <w:rsid w:val="005447E1"/>
    <w:rsid w:val="00552ED1"/>
    <w:rsid w:val="005647E9"/>
    <w:rsid w:val="00577CB1"/>
    <w:rsid w:val="00597708"/>
    <w:rsid w:val="00597873"/>
    <w:rsid w:val="005A158F"/>
    <w:rsid w:val="005A2AB9"/>
    <w:rsid w:val="005A49BC"/>
    <w:rsid w:val="005B708F"/>
    <w:rsid w:val="005C518D"/>
    <w:rsid w:val="005D02FE"/>
    <w:rsid w:val="005D30FB"/>
    <w:rsid w:val="005E282A"/>
    <w:rsid w:val="005E4BEE"/>
    <w:rsid w:val="005F3845"/>
    <w:rsid w:val="0061547A"/>
    <w:rsid w:val="006219E2"/>
    <w:rsid w:val="00624C7D"/>
    <w:rsid w:val="00627600"/>
    <w:rsid w:val="0064042C"/>
    <w:rsid w:val="00642F7D"/>
    <w:rsid w:val="0064309B"/>
    <w:rsid w:val="00643A4D"/>
    <w:rsid w:val="006460E5"/>
    <w:rsid w:val="006520A4"/>
    <w:rsid w:val="00652FEF"/>
    <w:rsid w:val="00653FF2"/>
    <w:rsid w:val="0066322F"/>
    <w:rsid w:val="006641A7"/>
    <w:rsid w:val="0066766F"/>
    <w:rsid w:val="00672E64"/>
    <w:rsid w:val="00681D6E"/>
    <w:rsid w:val="00683848"/>
    <w:rsid w:val="00683E9C"/>
    <w:rsid w:val="006850CD"/>
    <w:rsid w:val="0069287E"/>
    <w:rsid w:val="006955D5"/>
    <w:rsid w:val="00696C03"/>
    <w:rsid w:val="006A507E"/>
    <w:rsid w:val="006B33A4"/>
    <w:rsid w:val="006B50D7"/>
    <w:rsid w:val="006B6C2F"/>
    <w:rsid w:val="006C2D1F"/>
    <w:rsid w:val="006C47FC"/>
    <w:rsid w:val="006C57B3"/>
    <w:rsid w:val="006C5D9C"/>
    <w:rsid w:val="006D04AF"/>
    <w:rsid w:val="006E0843"/>
    <w:rsid w:val="006E5CCB"/>
    <w:rsid w:val="006E777F"/>
    <w:rsid w:val="0071387E"/>
    <w:rsid w:val="007138DA"/>
    <w:rsid w:val="00717059"/>
    <w:rsid w:val="007263D3"/>
    <w:rsid w:val="007371C4"/>
    <w:rsid w:val="00737554"/>
    <w:rsid w:val="0074405F"/>
    <w:rsid w:val="0074581E"/>
    <w:rsid w:val="00754913"/>
    <w:rsid w:val="00757442"/>
    <w:rsid w:val="0076792A"/>
    <w:rsid w:val="00770DC7"/>
    <w:rsid w:val="00781DB6"/>
    <w:rsid w:val="00785A52"/>
    <w:rsid w:val="007917FB"/>
    <w:rsid w:val="0079287F"/>
    <w:rsid w:val="007A0E9E"/>
    <w:rsid w:val="007B0B16"/>
    <w:rsid w:val="007C3231"/>
    <w:rsid w:val="007C4354"/>
    <w:rsid w:val="007C7F17"/>
    <w:rsid w:val="007E6F0C"/>
    <w:rsid w:val="007F0EC2"/>
    <w:rsid w:val="00804214"/>
    <w:rsid w:val="00806DA2"/>
    <w:rsid w:val="008112ED"/>
    <w:rsid w:val="008127C3"/>
    <w:rsid w:val="0081683A"/>
    <w:rsid w:val="0082344D"/>
    <w:rsid w:val="00831CCA"/>
    <w:rsid w:val="008363B3"/>
    <w:rsid w:val="00836800"/>
    <w:rsid w:val="00850AD0"/>
    <w:rsid w:val="00853E5E"/>
    <w:rsid w:val="00864079"/>
    <w:rsid w:val="00864B6C"/>
    <w:rsid w:val="008714DA"/>
    <w:rsid w:val="00882FBD"/>
    <w:rsid w:val="00893374"/>
    <w:rsid w:val="00893A65"/>
    <w:rsid w:val="00895FF3"/>
    <w:rsid w:val="008962E7"/>
    <w:rsid w:val="008B7A43"/>
    <w:rsid w:val="008D55BC"/>
    <w:rsid w:val="00913248"/>
    <w:rsid w:val="0092516D"/>
    <w:rsid w:val="00935910"/>
    <w:rsid w:val="0094295B"/>
    <w:rsid w:val="009545A2"/>
    <w:rsid w:val="00954EAF"/>
    <w:rsid w:val="00956AFA"/>
    <w:rsid w:val="00963EF0"/>
    <w:rsid w:val="009735B0"/>
    <w:rsid w:val="00980995"/>
    <w:rsid w:val="0098790D"/>
    <w:rsid w:val="009903A6"/>
    <w:rsid w:val="0099293F"/>
    <w:rsid w:val="00997804"/>
    <w:rsid w:val="009A320A"/>
    <w:rsid w:val="009A49A0"/>
    <w:rsid w:val="009A5565"/>
    <w:rsid w:val="009A7865"/>
    <w:rsid w:val="009B18D1"/>
    <w:rsid w:val="009B53DA"/>
    <w:rsid w:val="009B682F"/>
    <w:rsid w:val="009C180F"/>
    <w:rsid w:val="009C3751"/>
    <w:rsid w:val="009C746A"/>
    <w:rsid w:val="009D4057"/>
    <w:rsid w:val="009D6A46"/>
    <w:rsid w:val="009F2F79"/>
    <w:rsid w:val="009F6858"/>
    <w:rsid w:val="009F7579"/>
    <w:rsid w:val="00A00A24"/>
    <w:rsid w:val="00A0165D"/>
    <w:rsid w:val="00A10497"/>
    <w:rsid w:val="00A11EAE"/>
    <w:rsid w:val="00A14C07"/>
    <w:rsid w:val="00A25D17"/>
    <w:rsid w:val="00A25FAF"/>
    <w:rsid w:val="00A36601"/>
    <w:rsid w:val="00A4744C"/>
    <w:rsid w:val="00A60A84"/>
    <w:rsid w:val="00A61A79"/>
    <w:rsid w:val="00A656CB"/>
    <w:rsid w:val="00A7564B"/>
    <w:rsid w:val="00A816CE"/>
    <w:rsid w:val="00A82A70"/>
    <w:rsid w:val="00A91D39"/>
    <w:rsid w:val="00A968D3"/>
    <w:rsid w:val="00AA0399"/>
    <w:rsid w:val="00AB2493"/>
    <w:rsid w:val="00AB3E19"/>
    <w:rsid w:val="00AB5BCF"/>
    <w:rsid w:val="00AB656A"/>
    <w:rsid w:val="00AB6CE3"/>
    <w:rsid w:val="00AC0CC6"/>
    <w:rsid w:val="00AC0FCD"/>
    <w:rsid w:val="00AC1D99"/>
    <w:rsid w:val="00AC4958"/>
    <w:rsid w:val="00AD2414"/>
    <w:rsid w:val="00AD2614"/>
    <w:rsid w:val="00AD6EA1"/>
    <w:rsid w:val="00AE0E2E"/>
    <w:rsid w:val="00AE1350"/>
    <w:rsid w:val="00AE6C8D"/>
    <w:rsid w:val="00AF02A3"/>
    <w:rsid w:val="00AF66CC"/>
    <w:rsid w:val="00B003DA"/>
    <w:rsid w:val="00B01CC4"/>
    <w:rsid w:val="00B03E62"/>
    <w:rsid w:val="00B12186"/>
    <w:rsid w:val="00B12A88"/>
    <w:rsid w:val="00B12D1F"/>
    <w:rsid w:val="00B27C08"/>
    <w:rsid w:val="00B35714"/>
    <w:rsid w:val="00B448F1"/>
    <w:rsid w:val="00B4601C"/>
    <w:rsid w:val="00B559FF"/>
    <w:rsid w:val="00B5794D"/>
    <w:rsid w:val="00B65474"/>
    <w:rsid w:val="00B75C04"/>
    <w:rsid w:val="00B804AA"/>
    <w:rsid w:val="00BB1916"/>
    <w:rsid w:val="00BB263D"/>
    <w:rsid w:val="00BB4949"/>
    <w:rsid w:val="00BC008A"/>
    <w:rsid w:val="00BC1661"/>
    <w:rsid w:val="00BC6924"/>
    <w:rsid w:val="00BE421C"/>
    <w:rsid w:val="00BE423C"/>
    <w:rsid w:val="00BE46F5"/>
    <w:rsid w:val="00BF05D9"/>
    <w:rsid w:val="00BF0DC0"/>
    <w:rsid w:val="00BF102B"/>
    <w:rsid w:val="00C009A7"/>
    <w:rsid w:val="00C03630"/>
    <w:rsid w:val="00C0781C"/>
    <w:rsid w:val="00C10637"/>
    <w:rsid w:val="00C11DD8"/>
    <w:rsid w:val="00C121CC"/>
    <w:rsid w:val="00C1277F"/>
    <w:rsid w:val="00C14DF3"/>
    <w:rsid w:val="00C209B7"/>
    <w:rsid w:val="00C31918"/>
    <w:rsid w:val="00C3263B"/>
    <w:rsid w:val="00C345D4"/>
    <w:rsid w:val="00C3501E"/>
    <w:rsid w:val="00C410BD"/>
    <w:rsid w:val="00C41B28"/>
    <w:rsid w:val="00C424C8"/>
    <w:rsid w:val="00C44E87"/>
    <w:rsid w:val="00C46E5F"/>
    <w:rsid w:val="00C53F35"/>
    <w:rsid w:val="00C5539A"/>
    <w:rsid w:val="00C6016E"/>
    <w:rsid w:val="00C624CE"/>
    <w:rsid w:val="00C6435C"/>
    <w:rsid w:val="00C7012F"/>
    <w:rsid w:val="00C70393"/>
    <w:rsid w:val="00C775C2"/>
    <w:rsid w:val="00C836DA"/>
    <w:rsid w:val="00C8694F"/>
    <w:rsid w:val="00C90E44"/>
    <w:rsid w:val="00C91A9A"/>
    <w:rsid w:val="00C92258"/>
    <w:rsid w:val="00C940FA"/>
    <w:rsid w:val="00CA358F"/>
    <w:rsid w:val="00CB651C"/>
    <w:rsid w:val="00CC4C11"/>
    <w:rsid w:val="00CD441E"/>
    <w:rsid w:val="00CD4F00"/>
    <w:rsid w:val="00CE026D"/>
    <w:rsid w:val="00CE048E"/>
    <w:rsid w:val="00CF1274"/>
    <w:rsid w:val="00D002F4"/>
    <w:rsid w:val="00D03E5D"/>
    <w:rsid w:val="00D14B14"/>
    <w:rsid w:val="00D17E7D"/>
    <w:rsid w:val="00D2154E"/>
    <w:rsid w:val="00D3469B"/>
    <w:rsid w:val="00D430C5"/>
    <w:rsid w:val="00D537A8"/>
    <w:rsid w:val="00D62417"/>
    <w:rsid w:val="00D66397"/>
    <w:rsid w:val="00D84815"/>
    <w:rsid w:val="00DA7BA7"/>
    <w:rsid w:val="00DB30DB"/>
    <w:rsid w:val="00DB4691"/>
    <w:rsid w:val="00DC19DA"/>
    <w:rsid w:val="00DC4D1C"/>
    <w:rsid w:val="00DD0F02"/>
    <w:rsid w:val="00DD1412"/>
    <w:rsid w:val="00DD16BC"/>
    <w:rsid w:val="00DE3A79"/>
    <w:rsid w:val="00DE4854"/>
    <w:rsid w:val="00DE72A2"/>
    <w:rsid w:val="00DF4565"/>
    <w:rsid w:val="00E05351"/>
    <w:rsid w:val="00E05DC6"/>
    <w:rsid w:val="00E16F03"/>
    <w:rsid w:val="00E20169"/>
    <w:rsid w:val="00E21019"/>
    <w:rsid w:val="00E31D7A"/>
    <w:rsid w:val="00E33198"/>
    <w:rsid w:val="00E33BCE"/>
    <w:rsid w:val="00E3497A"/>
    <w:rsid w:val="00E37A29"/>
    <w:rsid w:val="00E447AA"/>
    <w:rsid w:val="00E474D5"/>
    <w:rsid w:val="00E605A1"/>
    <w:rsid w:val="00E64F11"/>
    <w:rsid w:val="00E6538B"/>
    <w:rsid w:val="00E740A1"/>
    <w:rsid w:val="00E76A24"/>
    <w:rsid w:val="00E8661B"/>
    <w:rsid w:val="00E90D9D"/>
    <w:rsid w:val="00EA54B4"/>
    <w:rsid w:val="00EA73AB"/>
    <w:rsid w:val="00EB00C1"/>
    <w:rsid w:val="00EB1F19"/>
    <w:rsid w:val="00EB6FC5"/>
    <w:rsid w:val="00EC0C3D"/>
    <w:rsid w:val="00EC1893"/>
    <w:rsid w:val="00EC1FD8"/>
    <w:rsid w:val="00ED3BED"/>
    <w:rsid w:val="00EE2D9F"/>
    <w:rsid w:val="00EF25CE"/>
    <w:rsid w:val="00EF3C7D"/>
    <w:rsid w:val="00F13E30"/>
    <w:rsid w:val="00F1610C"/>
    <w:rsid w:val="00F2110C"/>
    <w:rsid w:val="00F21AB1"/>
    <w:rsid w:val="00F259BE"/>
    <w:rsid w:val="00F2649A"/>
    <w:rsid w:val="00F442B5"/>
    <w:rsid w:val="00F608BE"/>
    <w:rsid w:val="00F620DB"/>
    <w:rsid w:val="00F65086"/>
    <w:rsid w:val="00F84083"/>
    <w:rsid w:val="00F8761A"/>
    <w:rsid w:val="00FA3911"/>
    <w:rsid w:val="00FA5487"/>
    <w:rsid w:val="00FB0AE8"/>
    <w:rsid w:val="00FB1269"/>
    <w:rsid w:val="00FB5F51"/>
    <w:rsid w:val="00FD0A3E"/>
    <w:rsid w:val="00FD1852"/>
    <w:rsid w:val="00FD6D69"/>
    <w:rsid w:val="00FE392E"/>
    <w:rsid w:val="00FE3A08"/>
    <w:rsid w:val="00FF5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3C455"/>
  <w15:chartTrackingRefBased/>
  <w15:docId w15:val="{BBC07864-CFAE-43E2-9AA6-1FB75417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36800"/>
    <w:pPr>
      <w:snapToGrid w:val="0"/>
      <w:jc w:val="left"/>
    </w:pPr>
    <w:rPr>
      <w:sz w:val="18"/>
      <w:szCs w:val="18"/>
    </w:rPr>
  </w:style>
  <w:style w:type="character" w:customStyle="1" w:styleId="a4">
    <w:name w:val="脚注文本 字符"/>
    <w:basedOn w:val="a0"/>
    <w:link w:val="a3"/>
    <w:uiPriority w:val="99"/>
    <w:rsid w:val="00836800"/>
    <w:rPr>
      <w:sz w:val="18"/>
      <w:szCs w:val="18"/>
    </w:rPr>
  </w:style>
  <w:style w:type="character" w:styleId="a5">
    <w:name w:val="footnote reference"/>
    <w:basedOn w:val="a0"/>
    <w:uiPriority w:val="99"/>
    <w:semiHidden/>
    <w:unhideWhenUsed/>
    <w:rsid w:val="00836800"/>
    <w:rPr>
      <w:vertAlign w:val="superscript"/>
    </w:rPr>
  </w:style>
  <w:style w:type="paragraph" w:styleId="a6">
    <w:name w:val="header"/>
    <w:basedOn w:val="a"/>
    <w:link w:val="a7"/>
    <w:uiPriority w:val="99"/>
    <w:unhideWhenUsed/>
    <w:rsid w:val="005A49B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A49BC"/>
    <w:rPr>
      <w:sz w:val="18"/>
      <w:szCs w:val="18"/>
    </w:rPr>
  </w:style>
  <w:style w:type="paragraph" w:styleId="a8">
    <w:name w:val="footer"/>
    <w:basedOn w:val="a"/>
    <w:link w:val="a9"/>
    <w:uiPriority w:val="99"/>
    <w:unhideWhenUsed/>
    <w:rsid w:val="005A49BC"/>
    <w:pPr>
      <w:tabs>
        <w:tab w:val="center" w:pos="4153"/>
        <w:tab w:val="right" w:pos="8306"/>
      </w:tabs>
      <w:snapToGrid w:val="0"/>
      <w:jc w:val="left"/>
    </w:pPr>
    <w:rPr>
      <w:sz w:val="18"/>
      <w:szCs w:val="18"/>
    </w:rPr>
  </w:style>
  <w:style w:type="character" w:customStyle="1" w:styleId="a9">
    <w:name w:val="页脚 字符"/>
    <w:basedOn w:val="a0"/>
    <w:link w:val="a8"/>
    <w:uiPriority w:val="99"/>
    <w:rsid w:val="005A49BC"/>
    <w:rPr>
      <w:sz w:val="18"/>
      <w:szCs w:val="18"/>
    </w:rPr>
  </w:style>
  <w:style w:type="table" w:styleId="aa">
    <w:name w:val="Table Grid"/>
    <w:basedOn w:val="a1"/>
    <w:uiPriority w:val="39"/>
    <w:rsid w:val="00AB6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E7298"/>
    <w:pPr>
      <w:ind w:firstLineChars="200" w:firstLine="420"/>
    </w:pPr>
  </w:style>
  <w:style w:type="paragraph" w:styleId="ac">
    <w:name w:val="endnote text"/>
    <w:basedOn w:val="a"/>
    <w:link w:val="ad"/>
    <w:uiPriority w:val="99"/>
    <w:semiHidden/>
    <w:unhideWhenUsed/>
    <w:rsid w:val="00390053"/>
    <w:pPr>
      <w:snapToGrid w:val="0"/>
      <w:jc w:val="left"/>
    </w:pPr>
  </w:style>
  <w:style w:type="character" w:customStyle="1" w:styleId="ad">
    <w:name w:val="尾注文本 字符"/>
    <w:basedOn w:val="a0"/>
    <w:link w:val="ac"/>
    <w:uiPriority w:val="99"/>
    <w:semiHidden/>
    <w:rsid w:val="00390053"/>
  </w:style>
  <w:style w:type="character" w:styleId="ae">
    <w:name w:val="endnote reference"/>
    <w:basedOn w:val="a0"/>
    <w:uiPriority w:val="99"/>
    <w:semiHidden/>
    <w:unhideWhenUsed/>
    <w:rsid w:val="003900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06168">
      <w:bodyDiv w:val="1"/>
      <w:marLeft w:val="0"/>
      <w:marRight w:val="0"/>
      <w:marTop w:val="0"/>
      <w:marBottom w:val="0"/>
      <w:divBdr>
        <w:top w:val="none" w:sz="0" w:space="0" w:color="auto"/>
        <w:left w:val="none" w:sz="0" w:space="0" w:color="auto"/>
        <w:bottom w:val="none" w:sz="0" w:space="0" w:color="auto"/>
        <w:right w:val="none" w:sz="0" w:space="0" w:color="auto"/>
      </w:divBdr>
    </w:div>
    <w:div w:id="735782594">
      <w:bodyDiv w:val="1"/>
      <w:marLeft w:val="0"/>
      <w:marRight w:val="0"/>
      <w:marTop w:val="0"/>
      <w:marBottom w:val="0"/>
      <w:divBdr>
        <w:top w:val="none" w:sz="0" w:space="0" w:color="auto"/>
        <w:left w:val="none" w:sz="0" w:space="0" w:color="auto"/>
        <w:bottom w:val="none" w:sz="0" w:space="0" w:color="auto"/>
        <w:right w:val="none" w:sz="0" w:space="0" w:color="auto"/>
      </w:divBdr>
    </w:div>
    <w:div w:id="913973945">
      <w:bodyDiv w:val="1"/>
      <w:marLeft w:val="0"/>
      <w:marRight w:val="0"/>
      <w:marTop w:val="0"/>
      <w:marBottom w:val="0"/>
      <w:divBdr>
        <w:top w:val="none" w:sz="0" w:space="0" w:color="auto"/>
        <w:left w:val="none" w:sz="0" w:space="0" w:color="auto"/>
        <w:bottom w:val="none" w:sz="0" w:space="0" w:color="auto"/>
        <w:right w:val="none" w:sz="0" w:space="0" w:color="auto"/>
      </w:divBdr>
    </w:div>
    <w:div w:id="1035236780">
      <w:bodyDiv w:val="1"/>
      <w:marLeft w:val="0"/>
      <w:marRight w:val="0"/>
      <w:marTop w:val="0"/>
      <w:marBottom w:val="0"/>
      <w:divBdr>
        <w:top w:val="none" w:sz="0" w:space="0" w:color="auto"/>
        <w:left w:val="none" w:sz="0" w:space="0" w:color="auto"/>
        <w:bottom w:val="none" w:sz="0" w:space="0" w:color="auto"/>
        <w:right w:val="none" w:sz="0" w:space="0" w:color="auto"/>
      </w:divBdr>
    </w:div>
    <w:div w:id="212036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25991;&#29486;&#36164;&#26009;\&#24037;&#31243;&#31649;&#29702;&#19987;&#19994;&#24314;&#35774;\&#26234;&#33021;&#24314;&#36896;&#19987;&#19994;&#22521;&#20859;&#35745;&#21010;&#25968;&#25454;&#23545;&#27604;&#20998;&#2651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25991;&#29486;&#36164;&#26009;\&#24037;&#31243;&#31649;&#29702;&#19987;&#19994;&#24314;&#35774;\&#26234;&#33021;&#24314;&#36896;&#19987;&#19994;&#22521;&#20859;&#35745;&#21010;&#25968;&#25454;&#23545;&#27604;&#20998;&#2651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cat>
            <c:strRef>
              <c:f>Sheet2!$A$1:$A$20</c:f>
              <c:strCache>
                <c:ptCount val="20"/>
                <c:pt idx="0">
                  <c:v>01</c:v>
                </c:pt>
                <c:pt idx="1">
                  <c:v>02</c:v>
                </c:pt>
                <c:pt idx="2">
                  <c:v>03</c:v>
                </c:pt>
                <c:pt idx="3">
                  <c:v>04</c:v>
                </c:pt>
                <c:pt idx="4">
                  <c:v>05</c:v>
                </c:pt>
                <c:pt idx="5">
                  <c:v>06</c:v>
                </c:pt>
                <c:pt idx="6">
                  <c:v>07</c:v>
                </c:pt>
                <c:pt idx="7">
                  <c:v>08</c:v>
                </c:pt>
                <c:pt idx="8">
                  <c:v>09</c:v>
                </c:pt>
                <c:pt idx="9">
                  <c:v>10</c:v>
                </c:pt>
                <c:pt idx="10">
                  <c:v>11</c:v>
                </c:pt>
                <c:pt idx="11">
                  <c:v>12</c:v>
                </c:pt>
                <c:pt idx="12">
                  <c:v>13</c:v>
                </c:pt>
                <c:pt idx="13">
                  <c:v>14</c:v>
                </c:pt>
                <c:pt idx="14">
                  <c:v>15</c:v>
                </c:pt>
                <c:pt idx="15">
                  <c:v>16</c:v>
                </c:pt>
                <c:pt idx="16">
                  <c:v>17</c:v>
                </c:pt>
                <c:pt idx="17">
                  <c:v>18</c:v>
                </c:pt>
                <c:pt idx="18">
                  <c:v>19</c:v>
                </c:pt>
                <c:pt idx="19">
                  <c:v>20</c:v>
                </c:pt>
              </c:strCache>
            </c:strRef>
          </c:cat>
          <c:val>
            <c:numRef>
              <c:f>Sheet2!$B$1:$B$20</c:f>
              <c:numCache>
                <c:formatCode>General</c:formatCode>
                <c:ptCount val="20"/>
                <c:pt idx="0">
                  <c:v>175</c:v>
                </c:pt>
                <c:pt idx="1">
                  <c:v>165</c:v>
                </c:pt>
                <c:pt idx="2">
                  <c:v>158.80000000000001</c:v>
                </c:pt>
                <c:pt idx="3">
                  <c:v>180</c:v>
                </c:pt>
                <c:pt idx="4">
                  <c:v>173</c:v>
                </c:pt>
                <c:pt idx="5">
                  <c:v>175</c:v>
                </c:pt>
                <c:pt idx="6">
                  <c:v>169</c:v>
                </c:pt>
                <c:pt idx="7">
                  <c:v>168</c:v>
                </c:pt>
                <c:pt idx="8">
                  <c:v>170</c:v>
                </c:pt>
                <c:pt idx="9">
                  <c:v>170</c:v>
                </c:pt>
                <c:pt idx="10">
                  <c:v>188</c:v>
                </c:pt>
                <c:pt idx="11">
                  <c:v>180</c:v>
                </c:pt>
                <c:pt idx="12">
                  <c:v>173</c:v>
                </c:pt>
                <c:pt idx="13">
                  <c:v>180</c:v>
                </c:pt>
                <c:pt idx="14">
                  <c:v>175</c:v>
                </c:pt>
                <c:pt idx="15">
                  <c:v>167</c:v>
                </c:pt>
                <c:pt idx="16">
                  <c:v>175</c:v>
                </c:pt>
                <c:pt idx="17">
                  <c:v>208</c:v>
                </c:pt>
                <c:pt idx="18">
                  <c:v>175</c:v>
                </c:pt>
                <c:pt idx="19">
                  <c:v>180</c:v>
                </c:pt>
              </c:numCache>
            </c:numRef>
          </c:val>
          <c:extLst>
            <c:ext xmlns:c16="http://schemas.microsoft.com/office/drawing/2014/chart" uri="{C3380CC4-5D6E-409C-BE32-E72D297353CC}">
              <c16:uniqueId val="{00000000-6C7C-49EF-AD4B-336B7259BA6E}"/>
            </c:ext>
          </c:extLst>
        </c:ser>
        <c:dLbls>
          <c:showLegendKey val="0"/>
          <c:showVal val="0"/>
          <c:showCatName val="0"/>
          <c:showSerName val="0"/>
          <c:showPercent val="0"/>
          <c:showBubbleSize val="0"/>
        </c:dLbls>
        <c:gapWidth val="150"/>
        <c:overlap val="100"/>
        <c:axId val="987816479"/>
        <c:axId val="991191423"/>
      </c:barChart>
      <c:catAx>
        <c:axId val="987816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91191423"/>
        <c:crosses val="autoZero"/>
        <c:auto val="1"/>
        <c:lblAlgn val="ctr"/>
        <c:lblOffset val="100"/>
        <c:noMultiLvlLbl val="0"/>
      </c:catAx>
      <c:valAx>
        <c:axId val="9911914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878164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2015288713910761"/>
          <c:y val="0.17997739865850101"/>
          <c:w val="0.87232174103237092"/>
          <c:h val="0.73577136191309422"/>
        </c:manualLayout>
      </c:layout>
      <c:barChart>
        <c:barDir val="col"/>
        <c:grouping val="stacked"/>
        <c:varyColors val="0"/>
        <c:ser>
          <c:idx val="0"/>
          <c:order val="0"/>
          <c:tx>
            <c:strRef>
              <c:f>课程构成!$B$12</c:f>
              <c:strCache>
                <c:ptCount val="1"/>
                <c:pt idx="0">
                  <c:v>公共平台课</c:v>
                </c:pt>
              </c:strCache>
            </c:strRef>
          </c:tx>
          <c:spPr>
            <a:solidFill>
              <a:schemeClr val="dk1">
                <a:tint val="88500"/>
              </a:schemeClr>
            </a:solidFill>
            <a:ln>
              <a:noFill/>
            </a:ln>
            <a:effectLst/>
          </c:spPr>
          <c:invertIfNegative val="0"/>
          <c:cat>
            <c:strRef>
              <c:f>课程构成!$C$11:$V$11</c:f>
              <c:strCache>
                <c:ptCount val="20"/>
                <c:pt idx="0">
                  <c:v>01</c:v>
                </c:pt>
                <c:pt idx="1">
                  <c:v>02</c:v>
                </c:pt>
                <c:pt idx="2">
                  <c:v>03</c:v>
                </c:pt>
                <c:pt idx="3">
                  <c:v>04</c:v>
                </c:pt>
                <c:pt idx="4">
                  <c:v>05</c:v>
                </c:pt>
                <c:pt idx="5">
                  <c:v>06</c:v>
                </c:pt>
                <c:pt idx="6">
                  <c:v>07</c:v>
                </c:pt>
                <c:pt idx="7">
                  <c:v>08</c:v>
                </c:pt>
                <c:pt idx="8">
                  <c:v>09</c:v>
                </c:pt>
                <c:pt idx="9">
                  <c:v>10</c:v>
                </c:pt>
                <c:pt idx="10">
                  <c:v>11</c:v>
                </c:pt>
                <c:pt idx="11">
                  <c:v>12</c:v>
                </c:pt>
                <c:pt idx="12">
                  <c:v>13</c:v>
                </c:pt>
                <c:pt idx="13">
                  <c:v>14</c:v>
                </c:pt>
                <c:pt idx="14">
                  <c:v>15</c:v>
                </c:pt>
                <c:pt idx="15">
                  <c:v>16</c:v>
                </c:pt>
                <c:pt idx="16">
                  <c:v>17</c:v>
                </c:pt>
                <c:pt idx="17">
                  <c:v>18</c:v>
                </c:pt>
                <c:pt idx="18">
                  <c:v>19</c:v>
                </c:pt>
                <c:pt idx="19">
                  <c:v>20</c:v>
                </c:pt>
              </c:strCache>
            </c:strRef>
          </c:cat>
          <c:val>
            <c:numRef>
              <c:f>课程构成!$C$12:$V$12</c:f>
              <c:numCache>
                <c:formatCode>0%</c:formatCode>
                <c:ptCount val="20"/>
                <c:pt idx="0">
                  <c:v>0.37142857142857144</c:v>
                </c:pt>
                <c:pt idx="1">
                  <c:v>0.34545454545454546</c:v>
                </c:pt>
                <c:pt idx="2">
                  <c:v>0.19521410579345086</c:v>
                </c:pt>
                <c:pt idx="3">
                  <c:v>0.21111111111111111</c:v>
                </c:pt>
                <c:pt idx="4">
                  <c:v>0.23699421965317918</c:v>
                </c:pt>
                <c:pt idx="5">
                  <c:v>0.40571428571428569</c:v>
                </c:pt>
                <c:pt idx="6">
                  <c:v>0.37278106508875741</c:v>
                </c:pt>
                <c:pt idx="7">
                  <c:v>0.30654761904761907</c:v>
                </c:pt>
                <c:pt idx="8">
                  <c:v>0.19411764705882353</c:v>
                </c:pt>
                <c:pt idx="9">
                  <c:v>0.29117647058823531</c:v>
                </c:pt>
                <c:pt idx="10">
                  <c:v>0.34042553191489361</c:v>
                </c:pt>
                <c:pt idx="11">
                  <c:v>0.31944444444444442</c:v>
                </c:pt>
                <c:pt idx="12">
                  <c:v>0.23121387283236994</c:v>
                </c:pt>
                <c:pt idx="13">
                  <c:v>0.33055555555555555</c:v>
                </c:pt>
                <c:pt idx="14">
                  <c:v>0.37714285714285717</c:v>
                </c:pt>
                <c:pt idx="15">
                  <c:v>0.31137724550898205</c:v>
                </c:pt>
                <c:pt idx="16">
                  <c:v>0.32285714285714284</c:v>
                </c:pt>
                <c:pt idx="17">
                  <c:v>0.17135549872122763</c:v>
                </c:pt>
                <c:pt idx="18">
                  <c:v>0.2857142857142857</c:v>
                </c:pt>
                <c:pt idx="19">
                  <c:v>0.36944444444444446</c:v>
                </c:pt>
              </c:numCache>
            </c:numRef>
          </c:val>
          <c:extLst>
            <c:ext xmlns:c16="http://schemas.microsoft.com/office/drawing/2014/chart" uri="{C3380CC4-5D6E-409C-BE32-E72D297353CC}">
              <c16:uniqueId val="{00000000-EBAF-4872-BEAA-6DAEE53B8157}"/>
            </c:ext>
          </c:extLst>
        </c:ser>
        <c:ser>
          <c:idx val="1"/>
          <c:order val="1"/>
          <c:tx>
            <c:strRef>
              <c:f>课程构成!$B$13</c:f>
              <c:strCache>
                <c:ptCount val="1"/>
                <c:pt idx="0">
                  <c:v>学科基础课</c:v>
                </c:pt>
              </c:strCache>
            </c:strRef>
          </c:tx>
          <c:spPr>
            <a:solidFill>
              <a:schemeClr val="dk1">
                <a:tint val="55000"/>
              </a:schemeClr>
            </a:solidFill>
            <a:ln>
              <a:noFill/>
            </a:ln>
            <a:effectLst/>
          </c:spPr>
          <c:invertIfNegative val="0"/>
          <c:cat>
            <c:strRef>
              <c:f>课程构成!$C$11:$V$11</c:f>
              <c:strCache>
                <c:ptCount val="20"/>
                <c:pt idx="0">
                  <c:v>01</c:v>
                </c:pt>
                <c:pt idx="1">
                  <c:v>02</c:v>
                </c:pt>
                <c:pt idx="2">
                  <c:v>03</c:v>
                </c:pt>
                <c:pt idx="3">
                  <c:v>04</c:v>
                </c:pt>
                <c:pt idx="4">
                  <c:v>05</c:v>
                </c:pt>
                <c:pt idx="5">
                  <c:v>06</c:v>
                </c:pt>
                <c:pt idx="6">
                  <c:v>07</c:v>
                </c:pt>
                <c:pt idx="7">
                  <c:v>08</c:v>
                </c:pt>
                <c:pt idx="8">
                  <c:v>09</c:v>
                </c:pt>
                <c:pt idx="9">
                  <c:v>10</c:v>
                </c:pt>
                <c:pt idx="10">
                  <c:v>11</c:v>
                </c:pt>
                <c:pt idx="11">
                  <c:v>12</c:v>
                </c:pt>
                <c:pt idx="12">
                  <c:v>13</c:v>
                </c:pt>
                <c:pt idx="13">
                  <c:v>14</c:v>
                </c:pt>
                <c:pt idx="14">
                  <c:v>15</c:v>
                </c:pt>
                <c:pt idx="15">
                  <c:v>16</c:v>
                </c:pt>
                <c:pt idx="16">
                  <c:v>17</c:v>
                </c:pt>
                <c:pt idx="17">
                  <c:v>18</c:v>
                </c:pt>
                <c:pt idx="18">
                  <c:v>19</c:v>
                </c:pt>
                <c:pt idx="19">
                  <c:v>20</c:v>
                </c:pt>
              </c:strCache>
            </c:strRef>
          </c:cat>
          <c:val>
            <c:numRef>
              <c:f>课程构成!$C$13:$V$13</c:f>
              <c:numCache>
                <c:formatCode>0%</c:formatCode>
                <c:ptCount val="20"/>
                <c:pt idx="0">
                  <c:v>0.29428571428571426</c:v>
                </c:pt>
                <c:pt idx="1">
                  <c:v>0.20303030303030303</c:v>
                </c:pt>
                <c:pt idx="2">
                  <c:v>0.30100755667506296</c:v>
                </c:pt>
                <c:pt idx="3">
                  <c:v>0.58611111111111114</c:v>
                </c:pt>
                <c:pt idx="4">
                  <c:v>0.25433526011560692</c:v>
                </c:pt>
                <c:pt idx="5">
                  <c:v>0.12285714285714286</c:v>
                </c:pt>
                <c:pt idx="6">
                  <c:v>0.25443786982248523</c:v>
                </c:pt>
                <c:pt idx="7">
                  <c:v>0.1875</c:v>
                </c:pt>
                <c:pt idx="8">
                  <c:v>0.17352941176470588</c:v>
                </c:pt>
                <c:pt idx="9">
                  <c:v>0.29411764705882354</c:v>
                </c:pt>
                <c:pt idx="10">
                  <c:v>0.17287234042553193</c:v>
                </c:pt>
                <c:pt idx="11">
                  <c:v>0.15277777777777779</c:v>
                </c:pt>
                <c:pt idx="12">
                  <c:v>0.26300578034682082</c:v>
                </c:pt>
                <c:pt idx="13">
                  <c:v>0.25833333333333336</c:v>
                </c:pt>
                <c:pt idx="14">
                  <c:v>0.28285714285714286</c:v>
                </c:pt>
                <c:pt idx="15">
                  <c:v>0.18862275449101795</c:v>
                </c:pt>
                <c:pt idx="16">
                  <c:v>0.20285714285714285</c:v>
                </c:pt>
                <c:pt idx="17">
                  <c:v>0.23529411764705882</c:v>
                </c:pt>
                <c:pt idx="18">
                  <c:v>0.18285714285714286</c:v>
                </c:pt>
                <c:pt idx="19">
                  <c:v>0.16666666666666666</c:v>
                </c:pt>
              </c:numCache>
            </c:numRef>
          </c:val>
          <c:extLst>
            <c:ext xmlns:c16="http://schemas.microsoft.com/office/drawing/2014/chart" uri="{C3380CC4-5D6E-409C-BE32-E72D297353CC}">
              <c16:uniqueId val="{00000001-EBAF-4872-BEAA-6DAEE53B8157}"/>
            </c:ext>
          </c:extLst>
        </c:ser>
        <c:ser>
          <c:idx val="2"/>
          <c:order val="2"/>
          <c:tx>
            <c:strRef>
              <c:f>课程构成!$B$14</c:f>
              <c:strCache>
                <c:ptCount val="1"/>
                <c:pt idx="0">
                  <c:v>专业课</c:v>
                </c:pt>
              </c:strCache>
            </c:strRef>
          </c:tx>
          <c:spPr>
            <a:solidFill>
              <a:schemeClr val="dk1">
                <a:tint val="75000"/>
              </a:schemeClr>
            </a:solidFill>
            <a:ln>
              <a:noFill/>
            </a:ln>
            <a:effectLst/>
          </c:spPr>
          <c:invertIfNegative val="0"/>
          <c:cat>
            <c:strRef>
              <c:f>课程构成!$C$11:$V$11</c:f>
              <c:strCache>
                <c:ptCount val="20"/>
                <c:pt idx="0">
                  <c:v>01</c:v>
                </c:pt>
                <c:pt idx="1">
                  <c:v>02</c:v>
                </c:pt>
                <c:pt idx="2">
                  <c:v>03</c:v>
                </c:pt>
                <c:pt idx="3">
                  <c:v>04</c:v>
                </c:pt>
                <c:pt idx="4">
                  <c:v>05</c:v>
                </c:pt>
                <c:pt idx="5">
                  <c:v>06</c:v>
                </c:pt>
                <c:pt idx="6">
                  <c:v>07</c:v>
                </c:pt>
                <c:pt idx="7">
                  <c:v>08</c:v>
                </c:pt>
                <c:pt idx="8">
                  <c:v>09</c:v>
                </c:pt>
                <c:pt idx="9">
                  <c:v>10</c:v>
                </c:pt>
                <c:pt idx="10">
                  <c:v>11</c:v>
                </c:pt>
                <c:pt idx="11">
                  <c:v>12</c:v>
                </c:pt>
                <c:pt idx="12">
                  <c:v>13</c:v>
                </c:pt>
                <c:pt idx="13">
                  <c:v>14</c:v>
                </c:pt>
                <c:pt idx="14">
                  <c:v>15</c:v>
                </c:pt>
                <c:pt idx="15">
                  <c:v>16</c:v>
                </c:pt>
                <c:pt idx="16">
                  <c:v>17</c:v>
                </c:pt>
                <c:pt idx="17">
                  <c:v>18</c:v>
                </c:pt>
                <c:pt idx="18">
                  <c:v>19</c:v>
                </c:pt>
                <c:pt idx="19">
                  <c:v>20</c:v>
                </c:pt>
              </c:strCache>
            </c:strRef>
          </c:cat>
          <c:val>
            <c:numRef>
              <c:f>课程构成!$C$14:$V$14</c:f>
              <c:numCache>
                <c:formatCode>0%</c:formatCode>
                <c:ptCount val="20"/>
                <c:pt idx="0">
                  <c:v>9.1428571428571428E-2</c:v>
                </c:pt>
                <c:pt idx="1">
                  <c:v>0.11212121212121212</c:v>
                </c:pt>
                <c:pt idx="2">
                  <c:v>0.23299748110831234</c:v>
                </c:pt>
                <c:pt idx="3">
                  <c:v>8.8888888888888892E-2</c:v>
                </c:pt>
                <c:pt idx="4">
                  <c:v>0.19075144508670519</c:v>
                </c:pt>
                <c:pt idx="5">
                  <c:v>0.12571428571428572</c:v>
                </c:pt>
                <c:pt idx="6">
                  <c:v>2.3668639053254437E-2</c:v>
                </c:pt>
                <c:pt idx="7">
                  <c:v>0.10119047619047619</c:v>
                </c:pt>
                <c:pt idx="8">
                  <c:v>0.18529411764705883</c:v>
                </c:pt>
                <c:pt idx="9">
                  <c:v>0.11470588235294117</c:v>
                </c:pt>
                <c:pt idx="10">
                  <c:v>0.16489361702127658</c:v>
                </c:pt>
                <c:pt idx="11">
                  <c:v>8.8888888888888892E-2</c:v>
                </c:pt>
                <c:pt idx="12">
                  <c:v>8.9595375722543349E-2</c:v>
                </c:pt>
                <c:pt idx="13">
                  <c:v>0.11666666666666667</c:v>
                </c:pt>
                <c:pt idx="14">
                  <c:v>6.5714285714285711E-2</c:v>
                </c:pt>
                <c:pt idx="15">
                  <c:v>0.11676646706586827</c:v>
                </c:pt>
                <c:pt idx="16">
                  <c:v>0.20571428571428571</c:v>
                </c:pt>
                <c:pt idx="17">
                  <c:v>0.11764705882352941</c:v>
                </c:pt>
                <c:pt idx="18">
                  <c:v>0.13142857142857142</c:v>
                </c:pt>
                <c:pt idx="19">
                  <c:v>0.13333333333333333</c:v>
                </c:pt>
              </c:numCache>
            </c:numRef>
          </c:val>
          <c:extLst>
            <c:ext xmlns:c16="http://schemas.microsoft.com/office/drawing/2014/chart" uri="{C3380CC4-5D6E-409C-BE32-E72D297353CC}">
              <c16:uniqueId val="{00000002-EBAF-4872-BEAA-6DAEE53B8157}"/>
            </c:ext>
          </c:extLst>
        </c:ser>
        <c:ser>
          <c:idx val="3"/>
          <c:order val="3"/>
          <c:tx>
            <c:strRef>
              <c:f>课程构成!$B$15</c:f>
              <c:strCache>
                <c:ptCount val="1"/>
                <c:pt idx="0">
                  <c:v>公共选修课</c:v>
                </c:pt>
              </c:strCache>
            </c:strRef>
          </c:tx>
          <c:spPr>
            <a:solidFill>
              <a:schemeClr val="dk1">
                <a:tint val="98500"/>
              </a:schemeClr>
            </a:solidFill>
            <a:ln>
              <a:noFill/>
            </a:ln>
            <a:effectLst/>
          </c:spPr>
          <c:invertIfNegative val="0"/>
          <c:cat>
            <c:strRef>
              <c:f>课程构成!$C$11:$V$11</c:f>
              <c:strCache>
                <c:ptCount val="20"/>
                <c:pt idx="0">
                  <c:v>01</c:v>
                </c:pt>
                <c:pt idx="1">
                  <c:v>02</c:v>
                </c:pt>
                <c:pt idx="2">
                  <c:v>03</c:v>
                </c:pt>
                <c:pt idx="3">
                  <c:v>04</c:v>
                </c:pt>
                <c:pt idx="4">
                  <c:v>05</c:v>
                </c:pt>
                <c:pt idx="5">
                  <c:v>06</c:v>
                </c:pt>
                <c:pt idx="6">
                  <c:v>07</c:v>
                </c:pt>
                <c:pt idx="7">
                  <c:v>08</c:v>
                </c:pt>
                <c:pt idx="8">
                  <c:v>09</c:v>
                </c:pt>
                <c:pt idx="9">
                  <c:v>10</c:v>
                </c:pt>
                <c:pt idx="10">
                  <c:v>11</c:v>
                </c:pt>
                <c:pt idx="11">
                  <c:v>12</c:v>
                </c:pt>
                <c:pt idx="12">
                  <c:v>13</c:v>
                </c:pt>
                <c:pt idx="13">
                  <c:v>14</c:v>
                </c:pt>
                <c:pt idx="14">
                  <c:v>15</c:v>
                </c:pt>
                <c:pt idx="15">
                  <c:v>16</c:v>
                </c:pt>
                <c:pt idx="16">
                  <c:v>17</c:v>
                </c:pt>
                <c:pt idx="17">
                  <c:v>18</c:v>
                </c:pt>
                <c:pt idx="18">
                  <c:v>19</c:v>
                </c:pt>
                <c:pt idx="19">
                  <c:v>20</c:v>
                </c:pt>
              </c:strCache>
            </c:strRef>
          </c:cat>
          <c:val>
            <c:numRef>
              <c:f>课程构成!$C$15:$V$15</c:f>
              <c:numCache>
                <c:formatCode>0%</c:formatCode>
                <c:ptCount val="20"/>
                <c:pt idx="0">
                  <c:v>4.5714285714285714E-2</c:v>
                </c:pt>
                <c:pt idx="1">
                  <c:v>8.4848484848484854E-2</c:v>
                </c:pt>
                <c:pt idx="2">
                  <c:v>6.2972292191435769E-2</c:v>
                </c:pt>
                <c:pt idx="3">
                  <c:v>5.5555555555555558E-3</c:v>
                </c:pt>
                <c:pt idx="4">
                  <c:v>0.10404624277456648</c:v>
                </c:pt>
                <c:pt idx="5">
                  <c:v>5.7142857142857141E-2</c:v>
                </c:pt>
                <c:pt idx="6">
                  <c:v>4.142011834319527E-2</c:v>
                </c:pt>
                <c:pt idx="7">
                  <c:v>3.5714285714285712E-2</c:v>
                </c:pt>
                <c:pt idx="8">
                  <c:v>4.7058823529411764E-2</c:v>
                </c:pt>
                <c:pt idx="9">
                  <c:v>5.8823529411764705E-2</c:v>
                </c:pt>
                <c:pt idx="10">
                  <c:v>5.3191489361702128E-2</c:v>
                </c:pt>
                <c:pt idx="11">
                  <c:v>5.5555555555555552E-2</c:v>
                </c:pt>
                <c:pt idx="12">
                  <c:v>2.3121387283236993E-2</c:v>
                </c:pt>
                <c:pt idx="13">
                  <c:v>5.5555555555555552E-2</c:v>
                </c:pt>
                <c:pt idx="14">
                  <c:v>1.1428571428571429E-2</c:v>
                </c:pt>
                <c:pt idx="15">
                  <c:v>4.1916167664670656E-2</c:v>
                </c:pt>
                <c:pt idx="16">
                  <c:v>7.4285714285714288E-2</c:v>
                </c:pt>
                <c:pt idx="17">
                  <c:v>5.1150895140664961E-2</c:v>
                </c:pt>
                <c:pt idx="18">
                  <c:v>5.7142857142857141E-2</c:v>
                </c:pt>
                <c:pt idx="19">
                  <c:v>6.3888888888888884E-2</c:v>
                </c:pt>
              </c:numCache>
            </c:numRef>
          </c:val>
          <c:extLst>
            <c:ext xmlns:c16="http://schemas.microsoft.com/office/drawing/2014/chart" uri="{C3380CC4-5D6E-409C-BE32-E72D297353CC}">
              <c16:uniqueId val="{00000003-EBAF-4872-BEAA-6DAEE53B8157}"/>
            </c:ext>
          </c:extLst>
        </c:ser>
        <c:ser>
          <c:idx val="4"/>
          <c:order val="4"/>
          <c:tx>
            <c:strRef>
              <c:f>课程构成!$B$16</c:f>
              <c:strCache>
                <c:ptCount val="1"/>
                <c:pt idx="0">
                  <c:v>专业选修课</c:v>
                </c:pt>
              </c:strCache>
            </c:strRef>
          </c:tx>
          <c:spPr>
            <a:solidFill>
              <a:schemeClr val="dk1">
                <a:tint val="30000"/>
              </a:schemeClr>
            </a:solidFill>
            <a:ln>
              <a:noFill/>
            </a:ln>
            <a:effectLst/>
          </c:spPr>
          <c:invertIfNegative val="0"/>
          <c:cat>
            <c:strRef>
              <c:f>课程构成!$C$11:$V$11</c:f>
              <c:strCache>
                <c:ptCount val="20"/>
                <c:pt idx="0">
                  <c:v>01</c:v>
                </c:pt>
                <c:pt idx="1">
                  <c:v>02</c:v>
                </c:pt>
                <c:pt idx="2">
                  <c:v>03</c:v>
                </c:pt>
                <c:pt idx="3">
                  <c:v>04</c:v>
                </c:pt>
                <c:pt idx="4">
                  <c:v>05</c:v>
                </c:pt>
                <c:pt idx="5">
                  <c:v>06</c:v>
                </c:pt>
                <c:pt idx="6">
                  <c:v>07</c:v>
                </c:pt>
                <c:pt idx="7">
                  <c:v>08</c:v>
                </c:pt>
                <c:pt idx="8">
                  <c:v>09</c:v>
                </c:pt>
                <c:pt idx="9">
                  <c:v>10</c:v>
                </c:pt>
                <c:pt idx="10">
                  <c:v>11</c:v>
                </c:pt>
                <c:pt idx="11">
                  <c:v>12</c:v>
                </c:pt>
                <c:pt idx="12">
                  <c:v>13</c:v>
                </c:pt>
                <c:pt idx="13">
                  <c:v>14</c:v>
                </c:pt>
                <c:pt idx="14">
                  <c:v>15</c:v>
                </c:pt>
                <c:pt idx="15">
                  <c:v>16</c:v>
                </c:pt>
                <c:pt idx="16">
                  <c:v>17</c:v>
                </c:pt>
                <c:pt idx="17">
                  <c:v>18</c:v>
                </c:pt>
                <c:pt idx="18">
                  <c:v>19</c:v>
                </c:pt>
                <c:pt idx="19">
                  <c:v>20</c:v>
                </c:pt>
              </c:strCache>
            </c:strRef>
          </c:cat>
          <c:val>
            <c:numRef>
              <c:f>课程构成!$C$16:$V$16</c:f>
              <c:numCache>
                <c:formatCode>0%</c:formatCode>
                <c:ptCount val="20"/>
                <c:pt idx="0">
                  <c:v>2.8571428571428571E-2</c:v>
                </c:pt>
                <c:pt idx="1">
                  <c:v>0.10303030303030303</c:v>
                </c:pt>
                <c:pt idx="2">
                  <c:v>0.1070528967254408</c:v>
                </c:pt>
                <c:pt idx="3">
                  <c:v>2.2222222222222223E-2</c:v>
                </c:pt>
                <c:pt idx="4">
                  <c:v>4.6242774566473986E-2</c:v>
                </c:pt>
                <c:pt idx="5">
                  <c:v>0.14571428571428571</c:v>
                </c:pt>
                <c:pt idx="6">
                  <c:v>0.1242603550295858</c:v>
                </c:pt>
                <c:pt idx="7">
                  <c:v>0.11904761904761904</c:v>
                </c:pt>
                <c:pt idx="8">
                  <c:v>0.13823529411764707</c:v>
                </c:pt>
                <c:pt idx="9">
                  <c:v>5.8823529411764705E-2</c:v>
                </c:pt>
                <c:pt idx="10">
                  <c:v>2.6595744680851064E-2</c:v>
                </c:pt>
                <c:pt idx="11">
                  <c:v>0.14444444444444443</c:v>
                </c:pt>
                <c:pt idx="12">
                  <c:v>7.5144508670520235E-2</c:v>
                </c:pt>
                <c:pt idx="13">
                  <c:v>3.0555555555555555E-2</c:v>
                </c:pt>
                <c:pt idx="14">
                  <c:v>4.5714285714285714E-2</c:v>
                </c:pt>
                <c:pt idx="15">
                  <c:v>0.10179640718562874</c:v>
                </c:pt>
                <c:pt idx="16">
                  <c:v>2.2857142857142857E-2</c:v>
                </c:pt>
                <c:pt idx="17">
                  <c:v>9.2071611253196933E-2</c:v>
                </c:pt>
                <c:pt idx="18">
                  <c:v>0.11428571428571428</c:v>
                </c:pt>
                <c:pt idx="19">
                  <c:v>6.6666666666666666E-2</c:v>
                </c:pt>
              </c:numCache>
            </c:numRef>
          </c:val>
          <c:extLst>
            <c:ext xmlns:c16="http://schemas.microsoft.com/office/drawing/2014/chart" uri="{C3380CC4-5D6E-409C-BE32-E72D297353CC}">
              <c16:uniqueId val="{00000004-EBAF-4872-BEAA-6DAEE53B8157}"/>
            </c:ext>
          </c:extLst>
        </c:ser>
        <c:ser>
          <c:idx val="5"/>
          <c:order val="5"/>
          <c:tx>
            <c:strRef>
              <c:f>课程构成!$B$17</c:f>
              <c:strCache>
                <c:ptCount val="1"/>
                <c:pt idx="0">
                  <c:v>实践课</c:v>
                </c:pt>
              </c:strCache>
            </c:strRef>
          </c:tx>
          <c:spPr>
            <a:solidFill>
              <a:schemeClr val="dk1">
                <a:tint val="60000"/>
              </a:schemeClr>
            </a:solidFill>
            <a:ln>
              <a:noFill/>
            </a:ln>
            <a:effectLst/>
          </c:spPr>
          <c:invertIfNegative val="0"/>
          <c:cat>
            <c:strRef>
              <c:f>课程构成!$C$11:$V$11</c:f>
              <c:strCache>
                <c:ptCount val="20"/>
                <c:pt idx="0">
                  <c:v>01</c:v>
                </c:pt>
                <c:pt idx="1">
                  <c:v>02</c:v>
                </c:pt>
                <c:pt idx="2">
                  <c:v>03</c:v>
                </c:pt>
                <c:pt idx="3">
                  <c:v>04</c:v>
                </c:pt>
                <c:pt idx="4">
                  <c:v>05</c:v>
                </c:pt>
                <c:pt idx="5">
                  <c:v>06</c:v>
                </c:pt>
                <c:pt idx="6">
                  <c:v>07</c:v>
                </c:pt>
                <c:pt idx="7">
                  <c:v>08</c:v>
                </c:pt>
                <c:pt idx="8">
                  <c:v>09</c:v>
                </c:pt>
                <c:pt idx="9">
                  <c:v>10</c:v>
                </c:pt>
                <c:pt idx="10">
                  <c:v>11</c:v>
                </c:pt>
                <c:pt idx="11">
                  <c:v>12</c:v>
                </c:pt>
                <c:pt idx="12">
                  <c:v>13</c:v>
                </c:pt>
                <c:pt idx="13">
                  <c:v>14</c:v>
                </c:pt>
                <c:pt idx="14">
                  <c:v>15</c:v>
                </c:pt>
                <c:pt idx="15">
                  <c:v>16</c:v>
                </c:pt>
                <c:pt idx="16">
                  <c:v>17</c:v>
                </c:pt>
                <c:pt idx="17">
                  <c:v>18</c:v>
                </c:pt>
                <c:pt idx="18">
                  <c:v>19</c:v>
                </c:pt>
                <c:pt idx="19">
                  <c:v>20</c:v>
                </c:pt>
              </c:strCache>
            </c:strRef>
          </c:cat>
          <c:val>
            <c:numRef>
              <c:f>课程构成!$C$17:$V$17</c:f>
              <c:numCache>
                <c:formatCode>0%</c:formatCode>
                <c:ptCount val="20"/>
                <c:pt idx="0">
                  <c:v>0.16857142857142857</c:v>
                </c:pt>
                <c:pt idx="1">
                  <c:v>0.15151515151515152</c:v>
                </c:pt>
                <c:pt idx="2">
                  <c:v>0.10075566750629722</c:v>
                </c:pt>
                <c:pt idx="3">
                  <c:v>8.611111111111111E-2</c:v>
                </c:pt>
                <c:pt idx="4">
                  <c:v>0.16763005780346821</c:v>
                </c:pt>
                <c:pt idx="5">
                  <c:v>0.14285714285714285</c:v>
                </c:pt>
                <c:pt idx="6">
                  <c:v>0.18343195266272189</c:v>
                </c:pt>
                <c:pt idx="7">
                  <c:v>0.25</c:v>
                </c:pt>
                <c:pt idx="8">
                  <c:v>0.26176470588235295</c:v>
                </c:pt>
                <c:pt idx="9">
                  <c:v>0.18235294117647058</c:v>
                </c:pt>
                <c:pt idx="10">
                  <c:v>0.24202127659574468</c:v>
                </c:pt>
                <c:pt idx="11">
                  <c:v>0.2388888888888889</c:v>
                </c:pt>
                <c:pt idx="12">
                  <c:v>0.31791907514450868</c:v>
                </c:pt>
                <c:pt idx="13">
                  <c:v>0.20833333333333334</c:v>
                </c:pt>
                <c:pt idx="14">
                  <c:v>0.21714285714285714</c:v>
                </c:pt>
                <c:pt idx="15">
                  <c:v>0.23952095808383234</c:v>
                </c:pt>
                <c:pt idx="16">
                  <c:v>0.17142857142857143</c:v>
                </c:pt>
                <c:pt idx="17">
                  <c:v>0.33248081841432225</c:v>
                </c:pt>
                <c:pt idx="18">
                  <c:v>0.22857142857142856</c:v>
                </c:pt>
                <c:pt idx="19">
                  <c:v>0.2</c:v>
                </c:pt>
              </c:numCache>
            </c:numRef>
          </c:val>
          <c:extLst>
            <c:ext xmlns:c16="http://schemas.microsoft.com/office/drawing/2014/chart" uri="{C3380CC4-5D6E-409C-BE32-E72D297353CC}">
              <c16:uniqueId val="{00000005-EBAF-4872-BEAA-6DAEE53B8157}"/>
            </c:ext>
          </c:extLst>
        </c:ser>
        <c:dLbls>
          <c:showLegendKey val="0"/>
          <c:showVal val="0"/>
          <c:showCatName val="0"/>
          <c:showSerName val="0"/>
          <c:showPercent val="0"/>
          <c:showBubbleSize val="0"/>
        </c:dLbls>
        <c:gapWidth val="150"/>
        <c:overlap val="100"/>
        <c:axId val="1107277872"/>
        <c:axId val="1192441696"/>
      </c:barChart>
      <c:catAx>
        <c:axId val="110727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92441696"/>
        <c:crosses val="autoZero"/>
        <c:auto val="1"/>
        <c:lblAlgn val="ctr"/>
        <c:lblOffset val="100"/>
        <c:noMultiLvlLbl val="0"/>
      </c:catAx>
      <c:valAx>
        <c:axId val="1192441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07277872"/>
        <c:crosses val="autoZero"/>
        <c:crossBetween val="between"/>
      </c:valAx>
      <c:spPr>
        <a:noFill/>
        <a:ln>
          <a:noFill/>
        </a:ln>
        <a:effectLst/>
      </c:spPr>
    </c:plotArea>
    <c:legend>
      <c:legendPos val="b"/>
      <c:layout>
        <c:manualLayout>
          <c:xMode val="edge"/>
          <c:yMode val="edge"/>
          <c:x val="0.13114823197707576"/>
          <c:y val="9.7805421381150795E-2"/>
          <c:w val="0.79168464265853411"/>
          <c:h val="5.25213760044700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41E83-D63B-4B8A-AAC6-05226FC0C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8</Pages>
  <Words>1221</Words>
  <Characters>6966</Characters>
  <Application>Microsoft Office Word</Application>
  <DocSecurity>0</DocSecurity>
  <Lines>58</Lines>
  <Paragraphs>16</Paragraphs>
  <ScaleCrop>false</ScaleCrop>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cevcl</dc:creator>
  <cp:keywords/>
  <dc:description/>
  <cp:lastModifiedBy>cevcl</cp:lastModifiedBy>
  <cp:revision>401</cp:revision>
  <dcterms:created xsi:type="dcterms:W3CDTF">2021-07-20T01:21:00Z</dcterms:created>
  <dcterms:modified xsi:type="dcterms:W3CDTF">2023-11-16T08:23:00Z</dcterms:modified>
</cp:coreProperties>
</file>