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Style w:val="13"/>
          <w:rFonts w:hint="eastAsia" w:ascii="黑体" w:hAnsi="黑体" w:eastAsia="黑体" w:cs="黑体"/>
          <w:b/>
          <w:bCs w:val="0"/>
          <w:i w:val="0"/>
          <w:caps w:val="0"/>
          <w:spacing w:val="0"/>
          <w:w w:val="100"/>
          <w:kern w:val="0"/>
          <w:sz w:val="28"/>
          <w:szCs w:val="28"/>
          <w:u w:val="none" w:color="auto"/>
          <w:lang w:val="en-US" w:eastAsia="zh-CN" w:bidi="ar-SA"/>
        </w:rPr>
      </w:pPr>
      <w:bookmarkStart w:id="0" w:name="_Toc17514"/>
      <w:bookmarkStart w:id="1" w:name="_Toc28266"/>
      <w:r>
        <w:rPr>
          <w:rStyle w:val="13"/>
          <w:rFonts w:hint="eastAsia" w:ascii="黑体" w:hAnsi="黑体" w:eastAsia="黑体" w:cs="黑体"/>
          <w:b/>
          <w:bCs w:val="0"/>
          <w:i w:val="0"/>
          <w:caps w:val="0"/>
          <w:spacing w:val="0"/>
          <w:w w:val="100"/>
          <w:kern w:val="0"/>
          <w:sz w:val="28"/>
          <w:szCs w:val="28"/>
          <w:u w:val="none" w:color="auto"/>
          <w:lang w:val="en-US" w:eastAsia="zh-CN" w:bidi="ar-SA"/>
        </w:rPr>
        <w:t>大学生投资股票现状及其对职业规划的影响研究</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Style w:val="13"/>
          <w:rFonts w:hint="eastAsia" w:ascii="黑体" w:hAnsi="黑体" w:eastAsia="黑体" w:cs="黑体"/>
          <w:b/>
          <w:bCs w:val="0"/>
          <w:i w:val="0"/>
          <w:caps w:val="0"/>
          <w:spacing w:val="0"/>
          <w:w w:val="100"/>
          <w:kern w:val="0"/>
          <w:sz w:val="28"/>
          <w:szCs w:val="28"/>
          <w:u w:val="none" w:color="auto"/>
          <w:lang w:val="en-US" w:eastAsia="zh-CN" w:bidi="ar-SA"/>
        </w:rPr>
      </w:pPr>
      <w:bookmarkStart w:id="2" w:name="_Toc8856"/>
      <w:r>
        <w:rPr>
          <w:rStyle w:val="13"/>
          <w:rFonts w:hint="eastAsia" w:ascii="黑体" w:hAnsi="黑体" w:eastAsia="黑体" w:cs="黑体"/>
          <w:b/>
          <w:bCs w:val="0"/>
          <w:i w:val="0"/>
          <w:caps w:val="0"/>
          <w:spacing w:val="0"/>
          <w:w w:val="100"/>
          <w:kern w:val="0"/>
          <w:sz w:val="28"/>
          <w:szCs w:val="28"/>
          <w:u w:val="none" w:color="auto"/>
          <w:lang w:val="en-US" w:eastAsia="zh-CN" w:bidi="ar-SA"/>
        </w:rPr>
        <w:t>——以昆明地区高校为例</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Style w:val="13"/>
          <w:rFonts w:hint="default" w:ascii="黑体" w:hAnsi="黑体" w:eastAsia="黑体" w:cs="黑体"/>
          <w:b w:val="0"/>
          <w:bCs/>
          <w:i w:val="0"/>
          <w:caps w:val="0"/>
          <w:spacing w:val="0"/>
          <w:w w:val="100"/>
          <w:kern w:val="0"/>
          <w:sz w:val="24"/>
          <w:szCs w:val="24"/>
          <w:u w:val="none" w:color="auto"/>
          <w:lang w:val="en-US" w:eastAsia="zh-CN" w:bidi="ar-SA"/>
        </w:rPr>
      </w:pPr>
      <w:r>
        <w:rPr>
          <w:rStyle w:val="13"/>
          <w:rFonts w:hint="eastAsia" w:ascii="黑体" w:hAnsi="黑体" w:eastAsia="黑体" w:cs="黑体"/>
          <w:b w:val="0"/>
          <w:bCs/>
          <w:i w:val="0"/>
          <w:caps w:val="0"/>
          <w:spacing w:val="0"/>
          <w:w w:val="100"/>
          <w:kern w:val="0"/>
          <w:sz w:val="24"/>
          <w:szCs w:val="24"/>
          <w:u w:val="none" w:color="auto"/>
          <w:lang w:val="en-US" w:eastAsia="zh-CN" w:bidi="ar-SA"/>
        </w:rPr>
        <w:t>别灿灿 覃姚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云南财经大学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outlineLvl w:val="0"/>
        <w:rPr>
          <w:rFonts w:hint="default" w:asciiTheme="minorEastAsia" w:hAnsiTheme="minorEastAsia" w:eastAsiaTheme="minorEastAsia" w:cstheme="minorEastAsia"/>
          <w:b w:val="0"/>
          <w:bCs w:val="0"/>
          <w:sz w:val="21"/>
          <w:szCs w:val="21"/>
          <w:highlight w:val="none"/>
          <w:lang w:val="en-US" w:eastAsia="zh-CN"/>
        </w:rPr>
      </w:pPr>
      <w:r>
        <w:rPr>
          <w:rFonts w:hint="eastAsia" w:ascii="黑体" w:hAnsi="黑体" w:eastAsia="黑体" w:cs="黑体"/>
          <w:b/>
          <w:bCs/>
          <w:sz w:val="24"/>
          <w:szCs w:val="24"/>
          <w:highlight w:val="none"/>
          <w:lang w:val="en-US" w:eastAsia="zh-CN"/>
        </w:rPr>
        <w:t>摘要</w:t>
      </w:r>
      <w:bookmarkEnd w:id="1"/>
      <w:r>
        <w:rPr>
          <w:rFonts w:hint="eastAsia" w:ascii="黑体" w:hAnsi="黑体" w:eastAsia="黑体" w:cs="黑体"/>
          <w:b/>
          <w:bCs/>
          <w:sz w:val="24"/>
          <w:szCs w:val="24"/>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在当前</w:t>
      </w:r>
      <w:r>
        <w:rPr>
          <w:rFonts w:hint="eastAsia" w:asciiTheme="minorEastAsia" w:hAnsiTheme="minorEastAsia" w:cstheme="minorEastAsia"/>
          <w:b w:val="0"/>
          <w:bCs w:val="0"/>
          <w:sz w:val="21"/>
          <w:szCs w:val="21"/>
          <w:highlight w:val="none"/>
          <w:lang w:val="en-US" w:eastAsia="zh-CN"/>
        </w:rPr>
        <w:t>变化万千的新</w:t>
      </w:r>
      <w:r>
        <w:rPr>
          <w:rFonts w:hint="eastAsia" w:asciiTheme="minorEastAsia" w:hAnsiTheme="minorEastAsia" w:eastAsiaTheme="minorEastAsia" w:cstheme="minorEastAsia"/>
          <w:b w:val="0"/>
          <w:bCs w:val="0"/>
          <w:sz w:val="21"/>
          <w:szCs w:val="21"/>
          <w:highlight w:val="none"/>
          <w:lang w:val="en-US" w:eastAsia="zh-CN"/>
        </w:rPr>
        <w:t>时代</w:t>
      </w:r>
      <w:r>
        <w:rPr>
          <w:rFonts w:hint="eastAsia" w:asciiTheme="minorEastAsia" w:hAnsiTheme="minorEastAsia" w:cstheme="minorEastAsia"/>
          <w:b w:val="0"/>
          <w:bCs w:val="0"/>
          <w:sz w:val="21"/>
          <w:szCs w:val="21"/>
          <w:highlight w:val="none"/>
          <w:lang w:val="en-US" w:eastAsia="zh-CN"/>
        </w:rPr>
        <w:t>，</w:t>
      </w:r>
      <w:bookmarkStart w:id="23" w:name="_GoBack"/>
      <w:bookmarkEnd w:id="23"/>
      <w:r>
        <w:rPr>
          <w:rFonts w:hint="eastAsia" w:asciiTheme="minorEastAsia" w:hAnsiTheme="minorEastAsia" w:cstheme="minorEastAsia"/>
          <w:b w:val="0"/>
          <w:bCs w:val="0"/>
          <w:sz w:val="21"/>
          <w:szCs w:val="21"/>
          <w:highlight w:val="none"/>
          <w:lang w:val="en-US" w:eastAsia="zh-CN"/>
        </w:rPr>
        <w:t>我国经济形势向好发展，且随着西南地区经济的开发</w:t>
      </w:r>
      <w:r>
        <w:rPr>
          <w:rFonts w:hint="eastAsia" w:asciiTheme="minorEastAsia" w:hAnsiTheme="minorEastAsia" w:eastAsiaTheme="minorEastAsia" w:cstheme="minorEastAsia"/>
          <w:b w:val="0"/>
          <w:bCs w:val="0"/>
          <w:sz w:val="21"/>
          <w:szCs w:val="21"/>
          <w:highlight w:val="none"/>
          <w:lang w:val="en-US" w:eastAsia="zh-CN"/>
        </w:rPr>
        <w:t>，越来越多的大学生拥有更多的积蓄以及对财富的渴望，同时投资前景广阔，</w:t>
      </w:r>
      <w:r>
        <w:rPr>
          <w:rFonts w:hint="eastAsia" w:asciiTheme="minorEastAsia" w:hAnsiTheme="minorEastAsia" w:cstheme="minorEastAsia"/>
          <w:b w:val="0"/>
          <w:bCs w:val="0"/>
          <w:sz w:val="21"/>
          <w:szCs w:val="21"/>
          <w:highlight w:val="none"/>
          <w:lang w:val="en-US" w:eastAsia="zh-CN"/>
        </w:rPr>
        <w:t>越来越多的投资主体开始参与进去。</w:t>
      </w:r>
      <w:r>
        <w:rPr>
          <w:rFonts w:hint="eastAsia"/>
          <w:szCs w:val="21"/>
          <w:lang w:val="en-US" w:eastAsia="zh-CN"/>
        </w:rPr>
        <w:t>在我国金融市场的不断发展中，由于投资理财的宣传力度不断增大，越来越多的青年群体对投资产生强烈兴趣。</w:t>
      </w:r>
      <w:r>
        <w:rPr>
          <w:rFonts w:hint="eastAsia" w:asciiTheme="minorEastAsia" w:hAnsiTheme="minorEastAsia" w:eastAsiaTheme="minorEastAsia" w:cstheme="minorEastAsia"/>
          <w:b w:val="0"/>
          <w:bCs w:val="0"/>
          <w:sz w:val="21"/>
          <w:szCs w:val="21"/>
          <w:highlight w:val="none"/>
          <w:lang w:val="en-US" w:eastAsia="zh-CN"/>
        </w:rPr>
        <w:t>本</w:t>
      </w:r>
      <w:r>
        <w:rPr>
          <w:rFonts w:hint="eastAsia" w:asciiTheme="minorEastAsia" w:hAnsiTheme="minorEastAsia" w:cstheme="minorEastAsia"/>
          <w:b w:val="0"/>
          <w:bCs w:val="0"/>
          <w:sz w:val="21"/>
          <w:szCs w:val="21"/>
          <w:highlight w:val="none"/>
          <w:lang w:val="en-US" w:eastAsia="zh-CN"/>
        </w:rPr>
        <w:t>研究报告主要</w:t>
      </w:r>
      <w:r>
        <w:rPr>
          <w:rFonts w:hint="eastAsia" w:asciiTheme="minorEastAsia" w:hAnsiTheme="minorEastAsia" w:eastAsiaTheme="minorEastAsia" w:cstheme="minorEastAsia"/>
          <w:b w:val="0"/>
          <w:bCs w:val="0"/>
          <w:sz w:val="21"/>
          <w:szCs w:val="21"/>
          <w:highlight w:val="none"/>
          <w:lang w:val="en-US" w:eastAsia="zh-CN"/>
        </w:rPr>
        <w:t>分析</w:t>
      </w:r>
      <w:r>
        <w:rPr>
          <w:rFonts w:hint="eastAsia" w:asciiTheme="minorEastAsia" w:hAnsiTheme="minorEastAsia" w:cstheme="minorEastAsia"/>
          <w:b w:val="0"/>
          <w:bCs w:val="0"/>
          <w:sz w:val="21"/>
          <w:szCs w:val="21"/>
          <w:highlight w:val="none"/>
          <w:lang w:val="en-US" w:eastAsia="zh-CN"/>
        </w:rPr>
        <w:t>探讨</w:t>
      </w:r>
      <w:r>
        <w:rPr>
          <w:rFonts w:hint="eastAsia" w:asciiTheme="minorEastAsia" w:hAnsiTheme="minorEastAsia" w:eastAsiaTheme="minorEastAsia" w:cstheme="minorEastAsia"/>
          <w:b w:val="0"/>
          <w:bCs w:val="0"/>
          <w:sz w:val="21"/>
          <w:szCs w:val="21"/>
          <w:highlight w:val="none"/>
          <w:lang w:val="en-US" w:eastAsia="zh-CN"/>
        </w:rPr>
        <w:t>了</w:t>
      </w:r>
      <w:r>
        <w:rPr>
          <w:rFonts w:hint="eastAsia" w:asciiTheme="minorEastAsia" w:hAnsiTheme="minorEastAsia" w:cstheme="minorEastAsia"/>
          <w:b w:val="0"/>
          <w:bCs w:val="0"/>
          <w:sz w:val="21"/>
          <w:szCs w:val="21"/>
          <w:highlight w:val="none"/>
          <w:lang w:val="en-US" w:eastAsia="zh-CN"/>
        </w:rPr>
        <w:t>昆明地区</w:t>
      </w:r>
      <w:r>
        <w:rPr>
          <w:rFonts w:hint="eastAsia" w:asciiTheme="minorEastAsia" w:hAnsiTheme="minorEastAsia" w:eastAsiaTheme="minorEastAsia" w:cstheme="minorEastAsia"/>
          <w:b w:val="0"/>
          <w:bCs w:val="0"/>
          <w:sz w:val="21"/>
          <w:szCs w:val="21"/>
          <w:highlight w:val="none"/>
          <w:lang w:val="en-US" w:eastAsia="zh-CN"/>
        </w:rPr>
        <w:t>在校大学生</w:t>
      </w:r>
      <w:r>
        <w:rPr>
          <w:rFonts w:hint="eastAsia" w:asciiTheme="minorEastAsia" w:hAnsiTheme="minorEastAsia" w:cstheme="minorEastAsia"/>
          <w:b w:val="0"/>
          <w:bCs w:val="0"/>
          <w:sz w:val="21"/>
          <w:szCs w:val="21"/>
          <w:highlight w:val="none"/>
          <w:lang w:val="en-US" w:eastAsia="zh-CN"/>
        </w:rPr>
        <w:t>投资股票的现状、对相关金融知识的认知程度、对其未来就业方向的影响等</w:t>
      </w:r>
      <w:r>
        <w:rPr>
          <w:rFonts w:hint="eastAsia" w:asciiTheme="minorEastAsia" w:hAnsiTheme="minorEastAsia" w:eastAsiaTheme="minorEastAsia" w:cstheme="minorEastAsia"/>
          <w:b w:val="0"/>
          <w:bCs w:val="0"/>
          <w:sz w:val="21"/>
          <w:szCs w:val="21"/>
          <w:highlight w:val="none"/>
          <w:lang w:val="en-US" w:eastAsia="zh-CN"/>
        </w:rPr>
        <w:t>,并在此基础上给出了大学生</w:t>
      </w:r>
      <w:r>
        <w:rPr>
          <w:rFonts w:hint="eastAsia" w:asciiTheme="minorEastAsia" w:hAnsiTheme="minorEastAsia" w:cstheme="minorEastAsia"/>
          <w:b w:val="0"/>
          <w:bCs w:val="0"/>
          <w:sz w:val="21"/>
          <w:szCs w:val="21"/>
          <w:highlight w:val="none"/>
          <w:lang w:val="en-US" w:eastAsia="zh-CN"/>
        </w:rPr>
        <w:t>投资股票行为对职业规划考虑的相关参考与建议。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outlineLvl w:val="0"/>
      </w:pPr>
      <w:bookmarkStart w:id="3" w:name="_Toc26445"/>
      <w:r>
        <w:rPr>
          <w:rFonts w:hint="eastAsia" w:ascii="黑体" w:hAnsi="黑体" w:eastAsia="黑体" w:cs="黑体"/>
          <w:b/>
          <w:bCs/>
          <w:sz w:val="28"/>
          <w:szCs w:val="28"/>
          <w:highlight w:val="none"/>
          <w:lang w:val="en-US" w:eastAsia="zh-CN"/>
        </w:rPr>
        <w:t>关键词：</w:t>
      </w:r>
      <w:r>
        <w:rPr>
          <w:rFonts w:hint="eastAsia" w:ascii="宋体" w:hAnsi="宋体" w:eastAsia="宋体" w:cs="宋体"/>
          <w:b/>
          <w:bCs/>
          <w:sz w:val="21"/>
          <w:szCs w:val="21"/>
          <w:highlight w:val="none"/>
          <w:lang w:val="en-US" w:eastAsia="zh-CN"/>
        </w:rPr>
        <w:t>投资股票 昆明大学生 影响 职业规划</w:t>
      </w:r>
      <w:bookmarkEnd w:id="3"/>
      <w:bookmarkStart w:id="4" w:name="_Toc31051"/>
    </w:p>
    <w:p>
      <w:pPr>
        <w:pStyle w:val="14"/>
        <w:tabs>
          <w:tab w:val="right" w:leader="dot" w:pos="8306"/>
        </w:tabs>
        <w:ind w:left="0" w:leftChars="0"/>
        <w:rPr>
          <w:rFonts w:hint="eastAsia" w:ascii="黑体" w:hAnsi="黑体" w:eastAsia="黑体" w:cs="黑体"/>
          <w:b w:val="0"/>
          <w:bCs w:val="0"/>
          <w:sz w:val="36"/>
          <w:szCs w:val="36"/>
          <w:highlight w:val="none"/>
          <w:lang w:val="en-US" w:eastAsia="zh-CN"/>
        </w:rPr>
      </w:pPr>
      <w:r>
        <w:rPr>
          <w:rFonts w:hint="eastAsia" w:ascii="黑体" w:hAnsi="黑体" w:eastAsia="黑体" w:cs="黑体"/>
          <w:b/>
          <w:bCs/>
          <w:sz w:val="36"/>
          <w:szCs w:val="36"/>
          <w:highlight w:val="none"/>
          <w:lang w:val="en-US" w:eastAsia="zh-CN"/>
        </w:rPr>
        <w:t>第一章 绪论</w:t>
      </w:r>
      <w:bookmarkEnd w:id="4"/>
    </w:p>
    <w:p>
      <w:pPr>
        <w:numPr>
          <w:ilvl w:val="1"/>
          <w:numId w:val="1"/>
        </w:numPr>
        <w:ind w:left="210" w:leftChars="0"/>
        <w:outlineLvl w:val="1"/>
        <w:rPr>
          <w:rFonts w:hint="default" w:ascii="黑体" w:hAnsi="黑体" w:eastAsia="黑体" w:cs="黑体"/>
          <w:b/>
          <w:bCs/>
          <w:sz w:val="30"/>
          <w:szCs w:val="30"/>
          <w:highlight w:val="none"/>
          <w:lang w:val="en-US" w:eastAsia="zh-CN"/>
        </w:rPr>
      </w:pPr>
      <w:bookmarkStart w:id="5" w:name="_Toc22607"/>
      <w:r>
        <w:rPr>
          <w:rFonts w:hint="eastAsia" w:ascii="黑体" w:hAnsi="黑体" w:eastAsia="黑体" w:cs="黑体"/>
          <w:b/>
          <w:bCs/>
          <w:sz w:val="28"/>
          <w:szCs w:val="28"/>
          <w:highlight w:val="none"/>
          <w:lang w:val="en-US" w:eastAsia="zh-CN"/>
        </w:rPr>
        <w:t>研究背景及意义</w:t>
      </w:r>
      <w:bookmarkEnd w:id="5"/>
    </w:p>
    <w:p>
      <w:pPr>
        <w:spacing w:before="156" w:beforeLines="50" w:line="300" w:lineRule="auto"/>
        <w:ind w:firstLine="241" w:firstLineChars="100"/>
        <w:jc w:val="left"/>
        <w:outlineLvl w:val="2"/>
        <w:rPr>
          <w:rFonts w:hint="eastAsia" w:ascii="黑体" w:hAnsi="黑体" w:eastAsia="黑体" w:cs="黑体"/>
          <w:b/>
          <w:bCs/>
          <w:sz w:val="24"/>
          <w:szCs w:val="24"/>
          <w:lang w:val="en-US" w:eastAsia="zh-CN"/>
        </w:rPr>
      </w:pPr>
      <w:bookmarkStart w:id="6" w:name="_Toc7034"/>
      <w:r>
        <w:rPr>
          <w:rFonts w:hint="eastAsia" w:ascii="黑体" w:hAnsi="黑体" w:eastAsia="黑体" w:cs="黑体"/>
          <w:b/>
          <w:bCs/>
          <w:sz w:val="24"/>
          <w:szCs w:val="24"/>
          <w:lang w:val="en-US" w:eastAsia="zh-CN"/>
        </w:rPr>
        <w:t>1.1.1研究背景</w:t>
      </w:r>
      <w:bookmarkEnd w:id="6"/>
    </w:p>
    <w:p>
      <w:pPr>
        <w:spacing w:before="156" w:beforeLines="50" w:line="300" w:lineRule="auto"/>
        <w:ind w:firstLine="420" w:firstLineChars="200"/>
        <w:jc w:val="left"/>
        <w:rPr>
          <w:rFonts w:hint="eastAsia"/>
          <w:szCs w:val="21"/>
          <w:lang w:val="en-US" w:eastAsia="zh-CN"/>
        </w:rPr>
      </w:pPr>
      <w:r>
        <w:rPr>
          <w:rFonts w:hint="eastAsia"/>
          <w:szCs w:val="21"/>
        </w:rPr>
        <w:t>在当前时代</w:t>
      </w:r>
      <w:r>
        <w:rPr>
          <w:rFonts w:hint="eastAsia"/>
          <w:szCs w:val="21"/>
          <w:lang w:eastAsia="zh-CN"/>
        </w:rPr>
        <w:t>，</w:t>
      </w:r>
      <w:r>
        <w:rPr>
          <w:rFonts w:hint="eastAsia"/>
          <w:szCs w:val="21"/>
        </w:rPr>
        <w:t>大学生作为一个</w:t>
      </w:r>
      <w:r>
        <w:rPr>
          <w:rFonts w:hint="eastAsia"/>
          <w:szCs w:val="21"/>
          <w:lang w:val="en-US" w:eastAsia="zh-CN"/>
        </w:rPr>
        <w:t>值得重视</w:t>
      </w:r>
      <w:r>
        <w:rPr>
          <w:rFonts w:hint="eastAsia"/>
          <w:szCs w:val="21"/>
        </w:rPr>
        <w:t>的群体，</w:t>
      </w:r>
      <w:r>
        <w:rPr>
          <w:rFonts w:hint="eastAsia"/>
          <w:szCs w:val="21"/>
          <w:lang w:val="en-US" w:eastAsia="zh-CN"/>
        </w:rPr>
        <w:t>备受关注</w:t>
      </w:r>
      <w:r>
        <w:rPr>
          <w:rFonts w:hint="eastAsia"/>
          <w:szCs w:val="21"/>
        </w:rPr>
        <w:t>。并且随着我国</w:t>
      </w:r>
      <w:r>
        <w:rPr>
          <w:rFonts w:hint="eastAsia"/>
          <w:szCs w:val="21"/>
          <w:lang w:val="en-US" w:eastAsia="zh-CN"/>
        </w:rPr>
        <w:t>社会主义市场经济</w:t>
      </w:r>
      <w:r>
        <w:rPr>
          <w:rFonts w:hint="eastAsia"/>
          <w:szCs w:val="21"/>
        </w:rPr>
        <w:t>的发展</w:t>
      </w:r>
      <w:r>
        <w:rPr>
          <w:rFonts w:hint="eastAsia"/>
          <w:szCs w:val="21"/>
          <w:lang w:val="en-US" w:eastAsia="zh-CN"/>
        </w:rPr>
        <w:t>和居民收入水平的提高，</w:t>
      </w:r>
      <w:r>
        <w:rPr>
          <w:rFonts w:hint="eastAsia"/>
          <w:szCs w:val="21"/>
        </w:rPr>
        <w:t>越来越多的大学生</w:t>
      </w:r>
      <w:r>
        <w:rPr>
          <w:rFonts w:hint="eastAsia"/>
          <w:szCs w:val="21"/>
          <w:lang w:val="en-US" w:eastAsia="zh-CN"/>
        </w:rPr>
        <w:t>可支配收入也不断增加，有额外的储蓄来实现</w:t>
      </w:r>
      <w:r>
        <w:rPr>
          <w:rFonts w:hint="eastAsia"/>
          <w:szCs w:val="21"/>
        </w:rPr>
        <w:t>财富</w:t>
      </w:r>
      <w:r>
        <w:rPr>
          <w:rFonts w:hint="eastAsia"/>
          <w:szCs w:val="21"/>
          <w:lang w:val="en-US" w:eastAsia="zh-CN"/>
        </w:rPr>
        <w:t>增值的需求。在我国金融市场的不断发展中，由于投资理财的宣传力度不断增大，越来越多的青年群体对投资产生强烈兴趣。由于投资具有主观性，从个人投资者的特征角度来看，个人特征的差异会导致股票投资活动产生不同影响。从不同地域的金融市场发展来看，昆明地区的金融市场近年来发展较快。该篇研究报告立足于昆明地区高校，研究昆明地区大学生的股票投资行为和对于职业规划的影响问题。</w:t>
      </w:r>
    </w:p>
    <w:p>
      <w:pPr>
        <w:spacing w:before="156" w:beforeLines="50" w:line="300" w:lineRule="auto"/>
        <w:ind w:firstLine="241" w:firstLineChars="100"/>
        <w:jc w:val="left"/>
        <w:outlineLvl w:val="2"/>
        <w:rPr>
          <w:rFonts w:hint="eastAsia" w:ascii="黑体" w:hAnsi="黑体" w:eastAsia="黑体" w:cs="黑体"/>
          <w:b/>
          <w:bCs/>
          <w:sz w:val="24"/>
          <w:szCs w:val="24"/>
          <w:lang w:val="en-US" w:eastAsia="zh-CN"/>
        </w:rPr>
      </w:pPr>
      <w:bookmarkStart w:id="7" w:name="_Toc5062"/>
      <w:r>
        <w:rPr>
          <w:rFonts w:hint="eastAsia" w:ascii="黑体" w:hAnsi="黑体" w:eastAsia="黑体" w:cs="黑体"/>
          <w:b/>
          <w:bCs/>
          <w:sz w:val="24"/>
          <w:szCs w:val="24"/>
          <w:lang w:val="en-US" w:eastAsia="zh-CN"/>
        </w:rPr>
        <w:t>1.1.2 研究目的</w:t>
      </w:r>
      <w:bookmarkEnd w:id="7"/>
    </w:p>
    <w:p>
      <w:pPr>
        <w:spacing w:before="156" w:beforeLines="50" w:line="300" w:lineRule="auto"/>
        <w:ind w:firstLine="630" w:firstLineChars="300"/>
        <w:jc w:val="left"/>
        <w:outlineLvl w:val="2"/>
        <w:rPr>
          <w:rFonts w:hint="eastAsia"/>
          <w:szCs w:val="21"/>
          <w:lang w:val="en-US" w:eastAsia="zh-CN"/>
        </w:rPr>
      </w:pPr>
      <w:r>
        <w:rPr>
          <w:rFonts w:hint="eastAsia"/>
          <w:szCs w:val="21"/>
          <w:lang w:val="en-US" w:eastAsia="zh-CN"/>
        </w:rPr>
        <w:t>通过问卷调查法和统计学方法结合，该篇主要研究昆明地区大学生投资股票对于职业生涯规划的影响，研究目的有以下四点。</w:t>
      </w:r>
    </w:p>
    <w:p>
      <w:pPr>
        <w:numPr>
          <w:ilvl w:val="0"/>
          <w:numId w:val="2"/>
        </w:numPr>
        <w:spacing w:before="156" w:beforeLines="50" w:line="300" w:lineRule="auto"/>
        <w:ind w:firstLine="630" w:firstLineChars="300"/>
        <w:jc w:val="left"/>
        <w:rPr>
          <w:rStyle w:val="13"/>
          <w:rFonts w:hint="eastAsia"/>
        </w:rPr>
      </w:pPr>
      <w:r>
        <w:rPr>
          <w:rFonts w:hint="eastAsia"/>
          <w:szCs w:val="21"/>
          <w:lang w:val="en-US" w:eastAsia="zh-CN"/>
        </w:rPr>
        <w:t>可以指导个人投资者通过了解自身的投资特征，有利于</w:t>
      </w:r>
      <w:r>
        <w:rPr>
          <w:rStyle w:val="13"/>
          <w:rFonts w:hint="eastAsia"/>
        </w:rPr>
        <w:t>帮助大学生明确自我的兴趣点，逐渐清晰自己的人生职业发展方向，提高生涯规划意识；</w:t>
      </w:r>
    </w:p>
    <w:p>
      <w:pPr>
        <w:numPr>
          <w:ilvl w:val="0"/>
          <w:numId w:val="2"/>
        </w:numPr>
        <w:spacing w:before="156" w:beforeLines="50" w:line="300" w:lineRule="auto"/>
        <w:ind w:firstLine="630" w:firstLineChars="300"/>
        <w:jc w:val="left"/>
        <w:rPr>
          <w:rStyle w:val="13"/>
          <w:rFonts w:hint="eastAsia"/>
        </w:rPr>
      </w:pPr>
      <w:r>
        <w:rPr>
          <w:rStyle w:val="13"/>
          <w:rFonts w:hint="eastAsia"/>
        </w:rPr>
        <w:t>通过调查我们能够检验学校里所学的专业知识是否能够运用到实践中，从而可以让学校做出更好的课程设置；</w:t>
      </w:r>
    </w:p>
    <w:p>
      <w:pPr>
        <w:numPr>
          <w:ilvl w:val="0"/>
          <w:numId w:val="2"/>
        </w:numPr>
        <w:spacing w:before="156" w:beforeLines="50" w:line="300" w:lineRule="auto"/>
        <w:ind w:firstLine="630" w:firstLineChars="300"/>
        <w:jc w:val="left"/>
        <w:rPr>
          <w:rStyle w:val="13"/>
          <w:rFonts w:hint="eastAsia"/>
        </w:rPr>
      </w:pPr>
      <w:r>
        <w:rPr>
          <w:rStyle w:val="13"/>
          <w:rFonts w:hint="eastAsia"/>
          <w:lang w:val="en-US"/>
        </w:rPr>
        <w:t>通过统计学的方法对统计结果进行分析，更好地了解到股票投资行为的影响，</w:t>
      </w:r>
      <w:r>
        <w:rPr>
          <w:rStyle w:val="13"/>
          <w:rFonts w:hint="eastAsia"/>
        </w:rPr>
        <w:t>让大学生能够更好的认识资本市场，提高自身的金融素养</w:t>
      </w:r>
      <w:r>
        <w:rPr>
          <w:rStyle w:val="13"/>
          <w:rFonts w:hint="eastAsia"/>
          <w:lang w:val="en-US"/>
        </w:rPr>
        <w:t>和</w:t>
      </w:r>
      <w:r>
        <w:rPr>
          <w:rStyle w:val="13"/>
          <w:rFonts w:hint="eastAsia"/>
        </w:rPr>
        <w:t>投资能力，完善投资体系；</w:t>
      </w:r>
    </w:p>
    <w:p>
      <w:pPr>
        <w:numPr>
          <w:ilvl w:val="0"/>
          <w:numId w:val="2"/>
        </w:numPr>
        <w:spacing w:before="156" w:beforeLines="50" w:line="300" w:lineRule="auto"/>
        <w:ind w:firstLine="630" w:firstLineChars="300"/>
        <w:jc w:val="left"/>
        <w:rPr>
          <w:rStyle w:val="13"/>
          <w:rFonts w:hint="eastAsia"/>
        </w:rPr>
      </w:pPr>
      <w:r>
        <w:rPr>
          <w:rStyle w:val="13"/>
          <w:rFonts w:hint="eastAsia"/>
        </w:rPr>
        <w:t>基于大样本问卷调查数据的对比，</w:t>
      </w:r>
      <w:r>
        <w:rPr>
          <w:rStyle w:val="13"/>
          <w:rFonts w:hint="eastAsia"/>
          <w:lang w:val="en-US"/>
        </w:rPr>
        <w:t>找出</w:t>
      </w:r>
      <w:r>
        <w:rPr>
          <w:rStyle w:val="13"/>
          <w:rFonts w:hint="eastAsia"/>
        </w:rPr>
        <w:t>大学生</w:t>
      </w:r>
      <w:r>
        <w:rPr>
          <w:rStyle w:val="13"/>
          <w:rFonts w:hint="eastAsia"/>
          <w:lang w:val="en-US"/>
        </w:rPr>
        <w:t>投资</w:t>
      </w:r>
      <w:r>
        <w:rPr>
          <w:rStyle w:val="13"/>
          <w:rFonts w:hint="eastAsia"/>
        </w:rPr>
        <w:t>存在的</w:t>
      </w:r>
      <w:r>
        <w:rPr>
          <w:rStyle w:val="13"/>
          <w:rFonts w:hint="eastAsia"/>
          <w:lang w:val="en-US"/>
        </w:rPr>
        <w:t>一些</w:t>
      </w:r>
      <w:r>
        <w:rPr>
          <w:rStyle w:val="13"/>
          <w:rFonts w:hint="eastAsia"/>
        </w:rPr>
        <w:t>问题，为迷茫期的大学生们提供建议。</w:t>
      </w:r>
    </w:p>
    <w:p>
      <w:pPr>
        <w:numPr>
          <w:ilvl w:val="0"/>
          <w:numId w:val="0"/>
        </w:numPr>
        <w:ind w:left="210" w:leftChars="0"/>
        <w:outlineLvl w:val="1"/>
        <w:rPr>
          <w:rFonts w:hint="eastAsia"/>
          <w:szCs w:val="21"/>
          <w:lang w:val="en-US" w:eastAsia="zh-CN"/>
        </w:rPr>
      </w:pPr>
      <w:bookmarkStart w:id="8" w:name="_Toc32294"/>
      <w:r>
        <w:rPr>
          <w:rFonts w:hint="eastAsia" w:ascii="黑体" w:hAnsi="黑体" w:eastAsia="黑体" w:cs="黑体"/>
          <w:b/>
          <w:bCs/>
          <w:sz w:val="28"/>
          <w:szCs w:val="28"/>
          <w:highlight w:val="none"/>
          <w:lang w:val="en-US" w:eastAsia="zh-CN"/>
        </w:rPr>
        <w:t>1.2研究内容及方法</w:t>
      </w:r>
      <w:bookmarkEnd w:id="8"/>
    </w:p>
    <w:p>
      <w:pPr>
        <w:snapToGrid/>
        <w:spacing w:before="0" w:beforeAutospacing="0" w:after="0" w:afterAutospacing="0" w:line="240" w:lineRule="auto"/>
        <w:ind w:firstLine="420" w:firstLineChars="200"/>
        <w:jc w:val="both"/>
        <w:textAlignment w:val="baseline"/>
        <w:rPr>
          <w:rFonts w:hint="default"/>
          <w:szCs w:val="21"/>
          <w:lang w:val="en-US" w:eastAsia="zh-CN"/>
        </w:rPr>
      </w:pPr>
      <w:r>
        <w:rPr>
          <w:rFonts w:hint="eastAsia"/>
          <w:szCs w:val="21"/>
          <w:lang w:val="en-US" w:eastAsia="zh-CN"/>
        </w:rPr>
        <w:t>根据昆明地区大学生分布的特点，本次调查采用分层调查</w:t>
      </w:r>
      <w:r>
        <w:rPr>
          <w:szCs w:val="21"/>
        </w:rPr>
        <w:t>、</w:t>
      </w:r>
      <w:r>
        <w:rPr>
          <w:rFonts w:hint="eastAsia"/>
          <w:szCs w:val="21"/>
          <w:lang w:val="en-US" w:eastAsia="zh-CN"/>
        </w:rPr>
        <w:t>分组调查</w:t>
      </w:r>
      <w:r>
        <w:rPr>
          <w:szCs w:val="21"/>
        </w:rPr>
        <w:t>、</w:t>
      </w:r>
      <w:r>
        <w:rPr>
          <w:rFonts w:hint="eastAsia"/>
          <w:szCs w:val="21"/>
          <w:lang w:val="en-US" w:eastAsia="zh-CN"/>
        </w:rPr>
        <w:t>抽样调查的方法，涉及文史类</w:t>
      </w:r>
      <w:r>
        <w:rPr>
          <w:szCs w:val="21"/>
        </w:rPr>
        <w:t>、</w:t>
      </w:r>
      <w:r>
        <w:rPr>
          <w:rFonts w:hint="eastAsia"/>
          <w:szCs w:val="21"/>
          <w:lang w:val="en-US" w:eastAsia="zh-CN"/>
        </w:rPr>
        <w:t>经济类</w:t>
      </w:r>
      <w:r>
        <w:rPr>
          <w:szCs w:val="21"/>
        </w:rPr>
        <w:t>、</w:t>
      </w:r>
      <w:r>
        <w:rPr>
          <w:rFonts w:hint="eastAsia"/>
          <w:szCs w:val="21"/>
          <w:lang w:val="en-US" w:eastAsia="zh-CN"/>
        </w:rPr>
        <w:t>理工类等不同专业。发放形式上采用线上和线下相结合的方式。</w:t>
      </w:r>
      <w:r>
        <w:rPr>
          <w:rStyle w:val="13"/>
          <w:rFonts w:hint="eastAsia"/>
          <w:b w:val="0"/>
          <w:bCs w:val="0"/>
          <w:i w:val="0"/>
          <w:caps w:val="0"/>
          <w:spacing w:val="0"/>
          <w:w w:val="100"/>
          <w:kern w:val="2"/>
          <w:sz w:val="21"/>
          <w:szCs w:val="21"/>
          <w:lang w:val="en-US" w:eastAsia="zh-CN" w:bidi="ar-SA"/>
        </w:rPr>
        <w:t>我们召集了在昆明理工大学、云南师范大学、云南大学等等昆明市高校的同学，来协助我们在更多高校发放问卷，增大问卷的受众范围和样本数量，以便收集更多目标人群的样本进行分析。</w:t>
      </w:r>
      <w:r>
        <w:rPr>
          <w:rFonts w:hint="eastAsia"/>
          <w:szCs w:val="21"/>
          <w:lang w:val="en-US" w:eastAsia="zh-CN"/>
        </w:rPr>
        <w:t>线上主要向昆明各大高校的QQ</w:t>
      </w:r>
      <w:r>
        <w:rPr>
          <w:rStyle w:val="13"/>
          <w:rFonts w:hint="eastAsia"/>
          <w:b w:val="0"/>
          <w:bCs w:val="0"/>
          <w:i w:val="0"/>
          <w:caps w:val="0"/>
          <w:spacing w:val="0"/>
          <w:w w:val="100"/>
          <w:kern w:val="2"/>
          <w:sz w:val="21"/>
          <w:szCs w:val="21"/>
          <w:lang w:val="en-US" w:eastAsia="zh-CN" w:bidi="ar-SA"/>
        </w:rPr>
        <w:t>、微信、聊天空间等投放问卷，线下主要通过印刷问卷在不同高校发放。在五月份，昆明高校大范围组织学生参加了“金融挑战赛”，越来越多的同学开始接触股票投资，有利于我们的研究项目更加顺利地开展调研。</w:t>
      </w:r>
      <w:r>
        <w:rPr>
          <w:rFonts w:hint="eastAsia"/>
          <w:szCs w:val="21"/>
          <w:lang w:val="en-US" w:eastAsia="zh-CN"/>
        </w:rPr>
        <w:t>除此之外，对已进入社会工作的昆明市内金融专业学长、学姐进行深度调研和访谈，最后根据所收集的调查数据，结合查找的相关资料和SPSS统计软件，进行问卷分析和统计学分析，得出系列数据和图表，使调查结果更为准确。</w:t>
      </w:r>
    </w:p>
    <w:p>
      <w:pPr>
        <w:numPr>
          <w:ilvl w:val="0"/>
          <w:numId w:val="0"/>
        </w:numPr>
        <w:spacing w:before="156"/>
        <w:ind w:leftChars="0"/>
        <w:jc w:val="center"/>
        <w:textAlignment w:val="baseline"/>
        <w:outlineLvl w:val="0"/>
        <w:rPr>
          <w:rFonts w:hint="default"/>
          <w:szCs w:val="21"/>
          <w:lang w:val="en-US" w:eastAsia="zh-CN"/>
        </w:rPr>
      </w:pPr>
      <w:bookmarkStart w:id="9" w:name="_Toc21939"/>
      <w:r>
        <w:rPr>
          <w:rFonts w:hint="eastAsia" w:ascii="黑体" w:hAnsi="黑体" w:eastAsia="黑体" w:cs="黑体"/>
          <w:b/>
          <w:bCs/>
          <w:sz w:val="36"/>
          <w:szCs w:val="36"/>
          <w:highlight w:val="none"/>
          <w:lang w:val="en-US" w:eastAsia="zh-CN"/>
        </w:rPr>
        <w:t>第二章 大学生股票投资对职业规划影响的模型分析</w:t>
      </w:r>
      <w:bookmarkEnd w:id="9"/>
    </w:p>
    <w:p>
      <w:pPr>
        <w:numPr>
          <w:ilvl w:val="0"/>
          <w:numId w:val="0"/>
        </w:numPr>
        <w:outlineLvl w:val="1"/>
        <w:rPr>
          <w:rFonts w:hint="default" w:ascii="黑体" w:hAnsi="黑体" w:eastAsia="黑体" w:cs="黑体"/>
          <w:b/>
          <w:bCs/>
          <w:sz w:val="28"/>
          <w:szCs w:val="28"/>
          <w:highlight w:val="none"/>
          <w:lang w:val="en-US" w:eastAsia="zh-CN"/>
        </w:rPr>
      </w:pPr>
      <w:bookmarkStart w:id="10" w:name="_Toc18762"/>
      <w:r>
        <w:rPr>
          <w:rFonts w:hint="eastAsia" w:ascii="黑体" w:hAnsi="黑体" w:eastAsia="黑体" w:cs="黑体"/>
          <w:b/>
          <w:bCs/>
          <w:sz w:val="28"/>
          <w:szCs w:val="28"/>
          <w:highlight w:val="none"/>
          <w:lang w:val="en-US" w:eastAsia="zh-CN"/>
        </w:rPr>
        <w:t>2.1 数据来源</w:t>
      </w:r>
      <w:bookmarkEnd w:id="10"/>
    </w:p>
    <w:p>
      <w:pPr>
        <w:numPr>
          <w:ilvl w:val="0"/>
          <w:numId w:val="0"/>
        </w:numPr>
        <w:ind w:firstLine="420" w:firstLineChars="200"/>
        <w:outlineLvl w:val="1"/>
        <w:rPr>
          <w:rStyle w:val="13"/>
          <w:rFonts w:hint="eastAsia"/>
          <w:b w:val="0"/>
          <w:bCs w:val="0"/>
          <w:i w:val="0"/>
          <w:caps w:val="0"/>
          <w:spacing w:val="0"/>
          <w:w w:val="100"/>
          <w:kern w:val="2"/>
          <w:sz w:val="21"/>
          <w:szCs w:val="21"/>
          <w:lang w:val="en-US" w:eastAsia="zh-CN" w:bidi="ar-SA"/>
        </w:rPr>
      </w:pPr>
      <w:bookmarkStart w:id="11" w:name="_Toc2805"/>
      <w:r>
        <w:rPr>
          <w:rFonts w:hint="eastAsia"/>
          <w:szCs w:val="21"/>
          <w:lang w:val="en-US" w:eastAsia="zh-CN"/>
        </w:rPr>
        <w:t>我们采用线上线下相结合的方式，在昆明地区高校发放问卷。线下</w:t>
      </w:r>
      <w:r>
        <w:rPr>
          <w:rStyle w:val="13"/>
          <w:rFonts w:hint="eastAsia"/>
          <w:b w:val="0"/>
          <w:bCs w:val="0"/>
          <w:i w:val="0"/>
          <w:caps w:val="0"/>
          <w:spacing w:val="0"/>
          <w:w w:val="100"/>
          <w:kern w:val="2"/>
          <w:sz w:val="21"/>
          <w:szCs w:val="21"/>
          <w:lang w:val="en-US" w:eastAsia="zh-CN" w:bidi="ar-SA"/>
        </w:rPr>
        <w:t>在昆明理工大学、云南师范大学、云南大学等高校发放印刷的问卷，</w:t>
      </w:r>
      <w:r>
        <w:rPr>
          <w:rFonts w:hint="eastAsia"/>
          <w:szCs w:val="21"/>
          <w:lang w:val="en-US" w:eastAsia="zh-CN"/>
        </w:rPr>
        <w:t>线上向昆明各大高校的QQ</w:t>
      </w:r>
      <w:r>
        <w:rPr>
          <w:rStyle w:val="13"/>
          <w:rFonts w:hint="eastAsia"/>
          <w:b w:val="0"/>
          <w:bCs w:val="0"/>
          <w:i w:val="0"/>
          <w:caps w:val="0"/>
          <w:spacing w:val="0"/>
          <w:w w:val="100"/>
          <w:kern w:val="2"/>
          <w:sz w:val="21"/>
          <w:szCs w:val="21"/>
          <w:lang w:val="en-US" w:eastAsia="zh-CN" w:bidi="ar-SA"/>
        </w:rPr>
        <w:t>、微信、聊天空间等投放问卷，期间外省高校的大学生填写问卷会被第一题过滤排除。</w:t>
      </w:r>
      <w:r>
        <w:rPr>
          <w:rFonts w:hint="eastAsia"/>
          <w:szCs w:val="21"/>
          <w:lang w:val="en-US" w:eastAsia="zh-CN"/>
        </w:rPr>
        <w:t>本次不重复发放412份随机大学生的调查问卷，通过筛选分类，其中昆明地区问卷数量369份，问卷有效率89.56%，同时对昆明地区的问卷进行二次筛选，选出接触股票投资的人数有193人，比例为52.3%。</w:t>
      </w:r>
      <w:bookmarkEnd w:id="11"/>
    </w:p>
    <w:p>
      <w:pPr>
        <w:spacing w:before="156" w:beforeLines="50" w:line="300" w:lineRule="auto"/>
        <w:ind w:firstLine="420" w:firstLineChars="200"/>
        <w:jc w:val="left"/>
        <w:outlineLvl w:val="2"/>
        <w:rPr>
          <w:rFonts w:hint="eastAsia"/>
          <w:szCs w:val="21"/>
          <w:lang w:val="en-US" w:eastAsia="zh-CN"/>
        </w:rPr>
      </w:pPr>
      <w:bookmarkStart w:id="12" w:name="_Toc32529"/>
      <w:r>
        <w:rPr>
          <w:rFonts w:hint="eastAsia"/>
          <w:szCs w:val="21"/>
          <w:lang w:val="en-US" w:eastAsia="zh-CN"/>
        </w:rPr>
        <w:t>在不重复抽样的条件下，我们用193份参加过股票投资的大学生人群的数据进行参数估计，来构建模型。在193份参与过股票投资的有效问卷中，其中只有20份选择“大学生股票投资行为对职业规划没有影响”，该比例为89.64%，有173份选择“大学生股票投资行为对职业规划有影响”，该比例为10.36%。</w:t>
      </w:r>
      <w:bookmarkEnd w:id="12"/>
    </w:p>
    <w:p>
      <w:pPr>
        <w:numPr>
          <w:ilvl w:val="0"/>
          <w:numId w:val="0"/>
        </w:numPr>
        <w:outlineLvl w:val="1"/>
        <w:rPr>
          <w:rFonts w:hint="default"/>
          <w:szCs w:val="21"/>
          <w:lang w:val="en-US" w:eastAsia="zh-CN"/>
        </w:rPr>
      </w:pPr>
      <w:bookmarkStart w:id="13" w:name="_Toc3091"/>
      <w:r>
        <w:rPr>
          <w:rFonts w:hint="eastAsia" w:ascii="黑体" w:hAnsi="黑体" w:eastAsia="黑体" w:cs="黑体"/>
          <w:b/>
          <w:bCs/>
          <w:sz w:val="28"/>
          <w:szCs w:val="28"/>
          <w:highlight w:val="none"/>
          <w:lang w:val="en-US" w:eastAsia="zh-CN"/>
        </w:rPr>
        <w:t>2.2 模型构建</w:t>
      </w:r>
      <w:bookmarkEnd w:id="13"/>
    </w:p>
    <w:p>
      <w:pPr>
        <w:numPr>
          <w:ilvl w:val="0"/>
          <w:numId w:val="0"/>
        </w:numPr>
        <w:ind w:firstLine="420" w:firstLineChars="200"/>
        <w:outlineLvl w:val="1"/>
        <w:rPr>
          <w:rFonts w:hint="default"/>
          <w:szCs w:val="21"/>
          <w:lang w:val="en-US" w:eastAsia="zh-CN"/>
        </w:rPr>
      </w:pPr>
      <w:bookmarkStart w:id="14" w:name="_Toc10998"/>
      <w:r>
        <w:rPr>
          <w:rFonts w:hint="eastAsia"/>
          <w:szCs w:val="21"/>
          <w:lang w:val="en-US" w:eastAsia="zh-CN"/>
        </w:rPr>
        <w:t>本文构建的模型是用SPSS统计软件来估计“昆明地区高校大学生投资股票对职业规划产生影响”的比例的置信区间（置信度95%）。通过估计的总体比例，来判断昆明地区多大比例的大学生认为投资股票行为对职业规划产生影响，从而判断投资股票行为的影响程度。</w:t>
      </w:r>
    </w:p>
    <w:p>
      <w:pPr>
        <w:numPr>
          <w:ilvl w:val="0"/>
          <w:numId w:val="0"/>
        </w:numPr>
        <w:ind w:firstLine="420" w:firstLineChars="200"/>
        <w:outlineLvl w:val="1"/>
        <w:rPr>
          <w:rFonts w:hint="default"/>
          <w:szCs w:val="21"/>
          <w:lang w:val="en-US" w:eastAsia="zh-CN"/>
        </w:rPr>
      </w:pPr>
    </w:p>
    <w:p>
      <w:pPr>
        <w:numPr>
          <w:ilvl w:val="0"/>
          <w:numId w:val="0"/>
        </w:numPr>
        <w:ind w:firstLine="420" w:firstLineChars="200"/>
        <w:outlineLvl w:val="1"/>
        <w:rPr>
          <w:rFonts w:hint="default"/>
          <w:szCs w:val="21"/>
          <w:lang w:val="en-US" w:eastAsia="zh-CN"/>
        </w:rPr>
      </w:pPr>
      <w:r>
        <w:rPr>
          <w:rFonts w:hint="eastAsia"/>
          <w:szCs w:val="21"/>
          <w:lang w:val="en-US" w:eastAsia="zh-CN"/>
        </w:rPr>
        <w:t>总体比例可以视作某件事发生的概率，当事件发生概率即总体比例p未知时，可用样本比例代替，从而</w:t>
      </w:r>
      <w:r>
        <w:rPr>
          <w:rFonts w:hint="default"/>
          <w:szCs w:val="21"/>
          <w:lang w:val="en-US" w:eastAsia="zh-CN"/>
        </w:rPr>
        <w:t>对</w:t>
      </w:r>
      <w:r>
        <w:rPr>
          <w:rFonts w:hint="eastAsia"/>
          <w:szCs w:val="21"/>
          <w:lang w:val="en-US" w:eastAsia="zh-CN"/>
        </w:rPr>
        <w:t>具有某种特征的单位的</w:t>
      </w:r>
      <w:r>
        <w:rPr>
          <w:rFonts w:hint="default"/>
          <w:szCs w:val="21"/>
          <w:lang w:val="en-US" w:eastAsia="zh-CN"/>
        </w:rPr>
        <w:t>总体比例进行判断。</w:t>
      </w:r>
      <w:bookmarkEnd w:id="14"/>
      <w:r>
        <w:rPr>
          <w:rFonts w:hint="eastAsia"/>
          <w:szCs w:val="21"/>
          <w:lang w:val="en-US" w:eastAsia="zh-CN"/>
        </w:rPr>
        <w:t>根据</w:t>
      </w:r>
      <w:r>
        <w:rPr>
          <w:rFonts w:hint="default"/>
          <w:szCs w:val="21"/>
          <w:lang w:val="en-US" w:eastAsia="zh-CN"/>
        </w:rPr>
        <w:t>中心极限定理</w:t>
      </w:r>
      <w:r>
        <w:rPr>
          <w:rFonts w:hint="eastAsia"/>
          <w:szCs w:val="21"/>
          <w:lang w:val="en-US" w:eastAsia="zh-CN"/>
        </w:rPr>
        <w:t>可得</w:t>
      </w:r>
      <w:r>
        <w:rPr>
          <w:rFonts w:hint="default"/>
          <w:szCs w:val="21"/>
          <w:lang w:val="en-US" w:eastAsia="zh-CN"/>
        </w:rPr>
        <w:t>，在大样本</w:t>
      </w:r>
      <w:r>
        <w:rPr>
          <w:rFonts w:hint="eastAsia"/>
          <w:szCs w:val="21"/>
          <w:lang w:val="en-US" w:eastAsia="zh-CN"/>
        </w:rPr>
        <w:t>条件</w:t>
      </w:r>
      <w:r>
        <w:rPr>
          <w:rFonts w:hint="default"/>
          <w:szCs w:val="21"/>
          <w:lang w:val="en-US" w:eastAsia="zh-CN"/>
        </w:rPr>
        <w:t>下，</w:t>
      </w:r>
      <w:bookmarkStart w:id="15" w:name="_Toc14019"/>
      <w:r>
        <w:rPr>
          <w:rFonts w:hint="eastAsia"/>
          <w:szCs w:val="21"/>
          <w:lang w:val="en-US" w:eastAsia="zh-CN"/>
        </w:rPr>
        <w:t>二项分布近似为正态分布</w:t>
      </w:r>
      <w:bookmarkEnd w:id="15"/>
      <w:r>
        <w:rPr>
          <w:rFonts w:hint="eastAsia"/>
          <w:szCs w:val="21"/>
          <w:lang w:val="en-US" w:eastAsia="zh-CN"/>
        </w:rPr>
        <w:t xml:space="preserve">。在不重复抽样下，本文有193个样本，属于大样本，因此可以将原本的二项分布近似于正态分布，样本比例p=89.64%。大样本情况主要采用以下公式，其中 </w:t>
      </w:r>
      <w:r>
        <w:rPr>
          <w:rFonts w:hint="default"/>
          <w:szCs w:val="21"/>
          <w:lang w:val="en-US" w:eastAsia="zh-CN"/>
        </w:rPr>
        <w:drawing>
          <wp:inline distT="0" distB="0" distL="114300" distR="114300">
            <wp:extent cx="384810" cy="292735"/>
            <wp:effectExtent l="0" t="0" r="11430" b="12065"/>
            <wp:docPr id="24" name="图片 24" descr="微信图片_2022110514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21105142520"/>
                    <pic:cNvPicPr>
                      <a:picLocks noChangeAspect="1"/>
                    </pic:cNvPicPr>
                  </pic:nvPicPr>
                  <pic:blipFill>
                    <a:blip r:embed="rId4"/>
                    <a:srcRect l="38703" t="49100" r="53991" b="41020"/>
                    <a:stretch>
                      <a:fillRect/>
                    </a:stretch>
                  </pic:blipFill>
                  <pic:spPr>
                    <a:xfrm>
                      <a:off x="0" y="0"/>
                      <a:ext cx="384810" cy="292735"/>
                    </a:xfrm>
                    <a:prstGeom prst="rect">
                      <a:avLst/>
                    </a:prstGeom>
                  </pic:spPr>
                </pic:pic>
              </a:graphicData>
            </a:graphic>
          </wp:inline>
        </w:drawing>
      </w:r>
      <w:r>
        <w:rPr>
          <w:rFonts w:hint="eastAsia"/>
          <w:szCs w:val="21"/>
          <w:lang w:val="en-US" w:eastAsia="zh-CN"/>
        </w:rPr>
        <w:t xml:space="preserve">表示标准正态分布右侧面积为α/2时的Z值,  </w:t>
      </w:r>
      <w:r>
        <w:rPr>
          <w:rFonts w:hint="default"/>
          <w:szCs w:val="21"/>
          <w:lang w:val="en-US" w:eastAsia="zh-CN"/>
        </w:rPr>
        <w:drawing>
          <wp:inline distT="0" distB="0" distL="114300" distR="114300">
            <wp:extent cx="128270" cy="322580"/>
            <wp:effectExtent l="0" t="0" r="8890" b="12700"/>
            <wp:docPr id="26" name="图片 26" descr="微信图片_2022110514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21105142520"/>
                    <pic:cNvPicPr>
                      <a:picLocks noChangeAspect="1"/>
                    </pic:cNvPicPr>
                  </pic:nvPicPr>
                  <pic:blipFill>
                    <a:blip r:embed="rId4"/>
                    <a:srcRect l="33724" t="47964" r="63841" b="41149"/>
                    <a:stretch>
                      <a:fillRect/>
                    </a:stretch>
                  </pic:blipFill>
                  <pic:spPr>
                    <a:xfrm>
                      <a:off x="0" y="0"/>
                      <a:ext cx="128270" cy="322580"/>
                    </a:xfrm>
                    <a:prstGeom prst="rect">
                      <a:avLst/>
                    </a:prstGeom>
                  </pic:spPr>
                </pic:pic>
              </a:graphicData>
            </a:graphic>
          </wp:inline>
        </w:drawing>
      </w:r>
      <w:r>
        <w:rPr>
          <w:rFonts w:hint="eastAsia"/>
          <w:szCs w:val="21"/>
          <w:lang w:val="en-US" w:eastAsia="zh-CN"/>
        </w:rPr>
        <w:t>表示样本比例，n表示样本量。</w:t>
      </w:r>
    </w:p>
    <w:p>
      <w:pPr>
        <w:spacing w:before="156" w:beforeLines="50" w:line="300" w:lineRule="auto"/>
        <w:ind w:firstLine="630" w:firstLineChars="300"/>
        <w:jc w:val="left"/>
        <w:rPr>
          <w:rFonts w:hint="eastAsia"/>
          <w:szCs w:val="21"/>
          <w:lang w:val="en-US" w:eastAsia="zh-CN"/>
        </w:rPr>
      </w:pPr>
    </w:p>
    <w:p>
      <w:pPr>
        <w:spacing w:before="156" w:beforeLines="50" w:line="300" w:lineRule="auto"/>
        <w:ind w:firstLine="630" w:firstLineChars="300"/>
        <w:jc w:val="center"/>
        <w:rPr>
          <w:rFonts w:hint="default"/>
          <w:szCs w:val="21"/>
          <w:lang w:val="en-US" w:eastAsia="zh-CN"/>
        </w:rPr>
      </w:pPr>
      <w:r>
        <w:rPr>
          <w:rFonts w:hint="default"/>
          <w:szCs w:val="21"/>
          <w:lang w:val="en-US" w:eastAsia="zh-CN"/>
        </w:rPr>
        <w:drawing>
          <wp:inline distT="0" distB="0" distL="114300" distR="114300">
            <wp:extent cx="1824355" cy="538480"/>
            <wp:effectExtent l="0" t="0" r="4445" b="10160"/>
            <wp:docPr id="18" name="图片 18" descr="微信图片_2022110514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21105142520"/>
                    <pic:cNvPicPr>
                      <a:picLocks noChangeAspect="1"/>
                    </pic:cNvPicPr>
                  </pic:nvPicPr>
                  <pic:blipFill>
                    <a:blip r:embed="rId4"/>
                    <a:srcRect l="33398" t="43956" r="31963" b="37870"/>
                    <a:stretch>
                      <a:fillRect/>
                    </a:stretch>
                  </pic:blipFill>
                  <pic:spPr>
                    <a:xfrm>
                      <a:off x="0" y="0"/>
                      <a:ext cx="1824355" cy="538480"/>
                    </a:xfrm>
                    <a:prstGeom prst="rect">
                      <a:avLst/>
                    </a:prstGeom>
                  </pic:spPr>
                </pic:pic>
              </a:graphicData>
            </a:graphic>
          </wp:inline>
        </w:drawing>
      </w:r>
    </w:p>
    <w:p>
      <w:pPr>
        <w:numPr>
          <w:ilvl w:val="0"/>
          <w:numId w:val="0"/>
        </w:numPr>
        <w:outlineLvl w:val="1"/>
        <w:rPr>
          <w:rFonts w:hint="eastAsia" w:ascii="黑体" w:hAnsi="黑体" w:eastAsia="黑体" w:cs="黑体"/>
          <w:b/>
          <w:bCs/>
          <w:sz w:val="28"/>
          <w:szCs w:val="28"/>
          <w:highlight w:val="none"/>
          <w:lang w:val="en-US" w:eastAsia="zh-CN"/>
        </w:rPr>
      </w:pPr>
      <w:bookmarkStart w:id="16" w:name="_Toc20722"/>
    </w:p>
    <w:p>
      <w:pPr>
        <w:numPr>
          <w:ilvl w:val="0"/>
          <w:numId w:val="0"/>
        </w:numPr>
        <w:ind w:firstLine="420" w:firstLineChars="200"/>
        <w:outlineLvl w:val="1"/>
        <w:rPr>
          <w:rFonts w:hint="eastAsia"/>
          <w:szCs w:val="21"/>
          <w:lang w:val="en-US" w:eastAsia="zh-CN"/>
        </w:rPr>
      </w:pPr>
      <w:r>
        <w:rPr>
          <w:rFonts w:hint="eastAsia"/>
          <w:szCs w:val="21"/>
          <w:lang w:val="en-US" w:eastAsia="zh-CN"/>
        </w:rPr>
        <w:t>为了估计“昆明地区高校大学生投资股票对职业规划产生影响”的比例的置信区间（置信度95%），在SPSS统计软件的变量视图构建变量x和变量f，其中f表示频率变量。设“x=1”表示“认为投资股票对职业规划有影响”，其对应的f=173；设“x=0”表示“认为投资股票对职业规划没有影响”，其对应的f=20，设置置信区间为95%来进行描述性统计。</w:t>
      </w:r>
    </w:p>
    <w:p>
      <w:pPr>
        <w:numPr>
          <w:ilvl w:val="0"/>
          <w:numId w:val="0"/>
        </w:numPr>
        <w:outlineLvl w:val="1"/>
        <w:rPr>
          <w:rFonts w:hint="eastAsia"/>
          <w:szCs w:val="21"/>
          <w:lang w:val="en-US" w:eastAsia="zh-CN"/>
        </w:rPr>
      </w:pPr>
    </w:p>
    <w:p>
      <w:pPr>
        <w:numPr>
          <w:ilvl w:val="0"/>
          <w:numId w:val="0"/>
        </w:numPr>
        <w:outlineLvl w:val="1"/>
        <w:rPr>
          <w:rFonts w:hint="eastAsia"/>
          <w:szCs w:val="21"/>
          <w:lang w:val="en-US" w:eastAsia="zh-CN"/>
        </w:rPr>
      </w:pPr>
      <w:r>
        <w:rPr>
          <w:rFonts w:hint="eastAsia"/>
          <w:szCs w:val="21"/>
          <w:lang w:val="en-US" w:eastAsia="zh-CN"/>
        </w:rPr>
        <w:t xml:space="preserve"> </w:t>
      </w:r>
      <w:r>
        <w:rPr>
          <w:rFonts w:hint="eastAsia"/>
          <w:szCs w:val="21"/>
          <w:lang w:val="en-US" w:eastAsia="zh-CN"/>
        </w:rPr>
        <w:drawing>
          <wp:inline distT="0" distB="0" distL="114300" distR="114300">
            <wp:extent cx="2115820" cy="761365"/>
            <wp:effectExtent l="0" t="0" r="2540" b="63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5"/>
                    <a:srcRect t="12846" r="83926" b="76875"/>
                    <a:stretch>
                      <a:fillRect/>
                    </a:stretch>
                  </pic:blipFill>
                  <pic:spPr>
                    <a:xfrm>
                      <a:off x="0" y="0"/>
                      <a:ext cx="2115820" cy="761365"/>
                    </a:xfrm>
                    <a:prstGeom prst="rect">
                      <a:avLst/>
                    </a:prstGeom>
                  </pic:spPr>
                </pic:pic>
              </a:graphicData>
            </a:graphic>
          </wp:inline>
        </w:drawing>
      </w:r>
      <w:r>
        <w:rPr>
          <w:rFonts w:hint="eastAsia"/>
          <w:szCs w:val="21"/>
          <w:lang w:val="en-US" w:eastAsia="zh-CN"/>
        </w:rPr>
        <w:t xml:space="preserve">            </w:t>
      </w:r>
      <w:r>
        <w:rPr>
          <w:rFonts w:hint="eastAsia"/>
          <w:szCs w:val="21"/>
          <w:lang w:val="en-US" w:eastAsia="zh-CN"/>
        </w:rPr>
        <w:drawing>
          <wp:inline distT="0" distB="0" distL="114300" distR="114300">
            <wp:extent cx="1506855" cy="1394460"/>
            <wp:effectExtent l="0" t="0" r="1905" b="7620"/>
            <wp:docPr id="22" name="图片 22"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55"/>
                    <pic:cNvPicPr>
                      <a:picLocks noChangeAspect="1"/>
                    </pic:cNvPicPr>
                  </pic:nvPicPr>
                  <pic:blipFill>
                    <a:blip r:embed="rId6"/>
                    <a:srcRect l="43002" t="34869" r="43079" b="41727"/>
                    <a:stretch>
                      <a:fillRect/>
                    </a:stretch>
                  </pic:blipFill>
                  <pic:spPr>
                    <a:xfrm>
                      <a:off x="0" y="0"/>
                      <a:ext cx="1506855" cy="1394460"/>
                    </a:xfrm>
                    <a:prstGeom prst="rect">
                      <a:avLst/>
                    </a:prstGeom>
                  </pic:spPr>
                </pic:pic>
              </a:graphicData>
            </a:graphic>
          </wp:inline>
        </w:drawing>
      </w:r>
    </w:p>
    <w:p>
      <w:pPr>
        <w:numPr>
          <w:ilvl w:val="0"/>
          <w:numId w:val="0"/>
        </w:numPr>
        <w:ind w:firstLine="630" w:firstLineChars="300"/>
        <w:outlineLvl w:val="1"/>
        <w:rPr>
          <w:rFonts w:hint="eastAsia"/>
          <w:szCs w:val="21"/>
          <w:lang w:val="en-US" w:eastAsia="zh-CN"/>
        </w:rPr>
      </w:pPr>
      <w:r>
        <w:rPr>
          <w:rFonts w:hint="eastAsia"/>
          <w:szCs w:val="21"/>
          <w:lang w:val="en-US" w:eastAsia="zh-CN"/>
        </w:rPr>
        <w:t>图1   设置变量值                        图2 设置置信区间(</w:t>
      </w:r>
      <w:r>
        <w:rPr>
          <w:rFonts w:hint="eastAsia"/>
          <w:szCs w:val="21"/>
          <w:u w:val="single"/>
          <w:lang w:val="en-US" w:eastAsia="zh-CN"/>
        </w:rPr>
        <w:t>C</w:t>
      </w:r>
      <w:r>
        <w:rPr>
          <w:rFonts w:hint="eastAsia"/>
          <w:szCs w:val="21"/>
          <w:lang w:val="en-US" w:eastAsia="zh-CN"/>
        </w:rPr>
        <w:t>)</w:t>
      </w:r>
    </w:p>
    <w:p>
      <w:pPr>
        <w:numPr>
          <w:ilvl w:val="0"/>
          <w:numId w:val="0"/>
        </w:numPr>
        <w:ind w:firstLine="630" w:firstLineChars="300"/>
        <w:outlineLvl w:val="1"/>
        <w:rPr>
          <w:rFonts w:hint="eastAsia"/>
          <w:szCs w:val="21"/>
          <w:lang w:val="en-US" w:eastAsia="zh-CN"/>
        </w:rPr>
      </w:pPr>
    </w:p>
    <w:p>
      <w:pPr>
        <w:numPr>
          <w:ilvl w:val="0"/>
          <w:numId w:val="0"/>
        </w:numPr>
        <w:outlineLvl w:val="1"/>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2.3 模型构建结果分析</w:t>
      </w:r>
      <w:bookmarkEnd w:id="16"/>
    </w:p>
    <w:p>
      <w:pPr>
        <w:numPr>
          <w:ilvl w:val="0"/>
          <w:numId w:val="0"/>
        </w:numPr>
        <w:ind w:firstLine="420" w:firstLineChars="200"/>
        <w:outlineLvl w:val="1"/>
        <w:rPr>
          <w:rFonts w:hint="eastAsia"/>
          <w:szCs w:val="21"/>
          <w:lang w:val="en-US" w:eastAsia="zh-CN"/>
        </w:rPr>
      </w:pPr>
      <w:r>
        <w:rPr>
          <w:rFonts w:hint="eastAsia"/>
          <w:szCs w:val="21"/>
          <w:lang w:val="en-US" w:eastAsia="zh-CN"/>
        </w:rPr>
        <w:t>通过SPSS统计软件，加权个案，将f选入“频率变量”进行加权，然后通过描述统计，将x选入“因变量”列表。</w:t>
      </w:r>
    </w:p>
    <w:p>
      <w:pPr>
        <w:spacing w:before="156" w:beforeLines="50" w:line="300" w:lineRule="auto"/>
        <w:ind w:firstLine="630" w:firstLineChars="300"/>
        <w:jc w:val="left"/>
        <w:rPr>
          <w:rFonts w:hint="default"/>
          <w:szCs w:val="21"/>
          <w:lang w:val="en-US" w:eastAsia="zh-CN"/>
        </w:rPr>
      </w:pPr>
      <w:r>
        <w:rPr>
          <w:rFonts w:hint="eastAsia"/>
          <w:szCs w:val="21"/>
          <w:lang w:val="en-US" w:eastAsia="zh-CN"/>
        </w:rPr>
        <w:t>通过描述估计，可以得到以下分析结果。</w:t>
      </w:r>
    </w:p>
    <w:tbl>
      <w:tblPr>
        <w:tblStyle w:val="11"/>
        <w:tblpPr w:leftFromText="180" w:rightFromText="180" w:vertAnchor="text" w:horzAnchor="page" w:tblpX="3216" w:tblpY="412"/>
        <w:tblOverlap w:val="never"/>
        <w:tblW w:w="55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9"/>
        <w:gridCol w:w="2049"/>
        <w:gridCol w:w="739"/>
        <w:gridCol w:w="1017"/>
        <w:gridCol w:w="10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61" w:type="dxa"/>
            <w:gridSpan w:val="5"/>
            <w:tcBorders>
              <w:top w:val="nil"/>
              <w:left w:val="nil"/>
              <w:bottom w:val="nil"/>
              <w:right w:val="nil"/>
              <w:tl2br w:val="nil"/>
              <w:tr2bl w:val="nil"/>
            </w:tcBorders>
            <w:shd w:val="clear" w:color="auto" w:fill="FFFFFF"/>
            <w:noWrap w:val="0"/>
            <w:vAlign w:val="top"/>
          </w:tcPr>
          <w:p>
            <w:pPr>
              <w:spacing w:beforeLines="0" w:afterLines="0" w:line="320" w:lineRule="atLeast"/>
              <w:ind w:left="60" w:right="60"/>
              <w:jc w:val="center"/>
              <w:rPr>
                <w:rFonts w:hint="default" w:ascii="MingLiU" w:hAnsi="MingLiU" w:eastAsia="MingLiU"/>
                <w:sz w:val="18"/>
                <w:szCs w:val="24"/>
              </w:rPr>
            </w:pPr>
            <w:r>
              <w:rPr>
                <w:rFonts w:hint="default" w:ascii="MingLiU" w:hAnsi="MingLiU" w:eastAsia="MingLiU"/>
                <w:b/>
                <w:sz w:val="18"/>
                <w:szCs w:val="24"/>
              </w:rPr>
              <w:t>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527" w:type="dxa"/>
            <w:gridSpan w:val="3"/>
            <w:tcBorders>
              <w:top w:val="single" w:color="000000" w:sz="16" w:space="0"/>
              <w:left w:val="single" w:color="000000" w:sz="16" w:space="0"/>
              <w:bottom w:val="single" w:color="000000" w:sz="16" w:space="0"/>
              <w:right w:val="nil"/>
              <w:tl2br w:val="nil"/>
              <w:tr2bl w:val="nil"/>
            </w:tcBorders>
            <w:shd w:val="clear" w:color="auto" w:fill="FFFFFF"/>
            <w:noWrap w:val="0"/>
            <w:vAlign w:val="top"/>
          </w:tcPr>
          <w:p>
            <w:pPr>
              <w:spacing w:beforeLines="0" w:afterLines="0" w:line="320" w:lineRule="atLeast"/>
              <w:ind w:left="60" w:right="60"/>
              <w:rPr>
                <w:rFonts w:hint="default" w:ascii="MingLiU" w:hAnsi="MingLiU" w:eastAsia="MingLiU"/>
                <w:sz w:val="18"/>
                <w:szCs w:val="24"/>
              </w:rPr>
            </w:pPr>
          </w:p>
        </w:tc>
        <w:tc>
          <w:tcPr>
            <w:tcW w:w="101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top"/>
          </w:tcPr>
          <w:p>
            <w:pPr>
              <w:spacing w:beforeLines="0" w:afterLines="0" w:line="320" w:lineRule="atLeast"/>
              <w:ind w:left="60" w:right="60"/>
              <w:jc w:val="center"/>
              <w:rPr>
                <w:rFonts w:hint="default" w:ascii="MingLiU" w:hAnsi="MingLiU" w:eastAsia="MingLiU"/>
                <w:sz w:val="18"/>
                <w:szCs w:val="24"/>
              </w:rPr>
            </w:pPr>
            <w:r>
              <w:rPr>
                <w:rFonts w:hint="default" w:ascii="MingLiU" w:hAnsi="MingLiU" w:eastAsia="MingLiU"/>
                <w:sz w:val="18"/>
                <w:szCs w:val="24"/>
              </w:rPr>
              <w:t>统计量</w:t>
            </w:r>
          </w:p>
        </w:tc>
        <w:tc>
          <w:tcPr>
            <w:tcW w:w="1017"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top"/>
          </w:tcPr>
          <w:p>
            <w:pPr>
              <w:spacing w:beforeLines="0" w:afterLines="0" w:line="320" w:lineRule="atLeast"/>
              <w:ind w:left="60" w:right="60"/>
              <w:jc w:val="center"/>
              <w:rPr>
                <w:rFonts w:hint="default" w:ascii="MingLiU" w:hAnsi="MingLiU" w:eastAsia="MingLiU"/>
                <w:sz w:val="18"/>
                <w:szCs w:val="24"/>
              </w:rPr>
            </w:pPr>
            <w:r>
              <w:rPr>
                <w:rFonts w:hint="default" w:ascii="MingLiU" w:hAnsi="MingLiU" w:eastAsia="MingLiU"/>
                <w:sz w:val="18"/>
                <w:szCs w:val="24"/>
              </w:rPr>
              <w:t>标准误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restart"/>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x</w:t>
            </w:r>
          </w:p>
        </w:tc>
        <w:tc>
          <w:tcPr>
            <w:tcW w:w="2788" w:type="dxa"/>
            <w:gridSpan w:val="2"/>
            <w:tcBorders>
              <w:top w:val="single" w:color="000000" w:sz="16" w:space="0"/>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均值</w:t>
            </w:r>
          </w:p>
        </w:tc>
        <w:tc>
          <w:tcPr>
            <w:tcW w:w="1017" w:type="dxa"/>
            <w:tcBorders>
              <w:top w:val="single" w:color="000000" w:sz="16" w:space="0"/>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.90</w:t>
            </w:r>
          </w:p>
        </w:tc>
        <w:tc>
          <w:tcPr>
            <w:tcW w:w="1017" w:type="dxa"/>
            <w:tcBorders>
              <w:top w:val="single" w:color="000000" w:sz="16" w:space="0"/>
              <w:left w:val="single" w:color="000000" w:sz="8" w:space="0"/>
              <w:bottom w:val="nil"/>
              <w:right w:val="single" w:color="000000" w:sz="16"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.022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ascii="MingLiU" w:hAnsi="MingLiU" w:eastAsia="MingLiU"/>
                <w:sz w:val="18"/>
                <w:szCs w:val="24"/>
              </w:rPr>
            </w:pPr>
          </w:p>
        </w:tc>
        <w:tc>
          <w:tcPr>
            <w:tcW w:w="2049" w:type="dxa"/>
            <w:vMerge w:val="restart"/>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均值的 95% 置信区间</w:t>
            </w:r>
          </w:p>
        </w:tc>
        <w:tc>
          <w:tcPr>
            <w:tcW w:w="739" w:type="dxa"/>
            <w:tcBorders>
              <w:top w:val="nil"/>
              <w:left w:val="nil"/>
              <w:bottom w:val="nil"/>
              <w:right w:val="single" w:color="000000" w:sz="16" w:space="0"/>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下限</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.85</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049" w:type="dxa"/>
            <w:vMerge w:val="continue"/>
            <w:tcBorders>
              <w:top w:val="nil"/>
              <w:left w:val="nil"/>
              <w:bottom w:val="nil"/>
              <w:right w:val="nil"/>
              <w:tl2br w:val="nil"/>
              <w:tr2bl w:val="nil"/>
            </w:tcBorders>
            <w:shd w:val="clear" w:color="auto" w:fill="FFFFFF"/>
            <w:noWrap w:val="0"/>
            <w:vAlign w:val="center"/>
          </w:tcPr>
          <w:p>
            <w:pPr>
              <w:spacing w:beforeLines="0" w:afterLines="0"/>
              <w:rPr>
                <w:rFonts w:hint="default"/>
                <w:sz w:val="24"/>
                <w:szCs w:val="24"/>
              </w:rPr>
            </w:pPr>
          </w:p>
        </w:tc>
        <w:tc>
          <w:tcPr>
            <w:tcW w:w="739" w:type="dxa"/>
            <w:tcBorders>
              <w:top w:val="nil"/>
              <w:left w:val="nil"/>
              <w:bottom w:val="nil"/>
              <w:right w:val="single" w:color="000000" w:sz="16" w:space="0"/>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上限</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.94</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5% 修整均值</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.94</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中值</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1.00</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方差</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.093</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标准差</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.306</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极小值</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0</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极大值</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1</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范围</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1</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四分位距</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0</w:t>
            </w:r>
          </w:p>
        </w:tc>
        <w:tc>
          <w:tcPr>
            <w:tcW w:w="1017" w:type="dxa"/>
            <w:tcBorders>
              <w:top w:val="nil"/>
              <w:left w:val="single" w:color="000000" w:sz="8" w:space="0"/>
              <w:bottom w:val="nil"/>
              <w:right w:val="single" w:color="000000" w:sz="16" w:space="0"/>
              <w:tl2br w:val="nil"/>
              <w:tr2bl w:val="nil"/>
            </w:tcBorders>
            <w:shd w:val="clear" w:color="auto" w:fill="FFFFFF"/>
            <w:noWrap w:val="0"/>
            <w:vAlign w:val="top"/>
          </w:tcPr>
          <w:p>
            <w:pPr>
              <w:spacing w:beforeLines="0" w:afterLines="0"/>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sz w:val="24"/>
                <w:szCs w:val="24"/>
              </w:rPr>
            </w:pPr>
          </w:p>
        </w:tc>
        <w:tc>
          <w:tcPr>
            <w:tcW w:w="2788" w:type="dxa"/>
            <w:gridSpan w:val="2"/>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偏度</w:t>
            </w:r>
          </w:p>
        </w:tc>
        <w:tc>
          <w:tcPr>
            <w:tcW w:w="1017" w:type="dxa"/>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-2.621</w:t>
            </w:r>
          </w:p>
        </w:tc>
        <w:tc>
          <w:tcPr>
            <w:tcW w:w="1017" w:type="dxa"/>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9"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vAlign w:val="center"/>
          </w:tcPr>
          <w:p>
            <w:pPr>
              <w:spacing w:beforeLines="0" w:afterLines="0"/>
              <w:rPr>
                <w:rFonts w:hint="default" w:ascii="MingLiU" w:hAnsi="MingLiU" w:eastAsia="MingLiU"/>
                <w:sz w:val="18"/>
                <w:szCs w:val="24"/>
              </w:rPr>
            </w:pPr>
          </w:p>
        </w:tc>
        <w:tc>
          <w:tcPr>
            <w:tcW w:w="2788" w:type="dxa"/>
            <w:gridSpan w:val="2"/>
            <w:tcBorders>
              <w:top w:val="nil"/>
              <w:left w:val="nil"/>
              <w:bottom w:val="single" w:color="000000" w:sz="16" w:space="0"/>
              <w:right w:val="nil"/>
              <w:tl2br w:val="nil"/>
              <w:tr2bl w:val="nil"/>
            </w:tcBorders>
            <w:shd w:val="clear" w:color="auto" w:fill="FFFFFF"/>
            <w:noWrap w:val="0"/>
            <w:vAlign w:val="center"/>
          </w:tcPr>
          <w:p>
            <w:pPr>
              <w:spacing w:beforeLines="0" w:afterLines="0" w:line="320" w:lineRule="atLeast"/>
              <w:ind w:left="60" w:right="60"/>
              <w:rPr>
                <w:rFonts w:hint="default" w:ascii="MingLiU" w:hAnsi="MingLiU" w:eastAsia="MingLiU"/>
                <w:sz w:val="18"/>
                <w:szCs w:val="24"/>
              </w:rPr>
            </w:pPr>
            <w:r>
              <w:rPr>
                <w:rFonts w:hint="default" w:ascii="MingLiU" w:hAnsi="MingLiU" w:eastAsia="MingLiU"/>
                <w:sz w:val="18"/>
                <w:szCs w:val="24"/>
              </w:rPr>
              <w:t>峰度</w:t>
            </w:r>
          </w:p>
        </w:tc>
        <w:tc>
          <w:tcPr>
            <w:tcW w:w="1017" w:type="dxa"/>
            <w:tcBorders>
              <w:top w:val="nil"/>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4.923</w:t>
            </w:r>
          </w:p>
        </w:tc>
        <w:tc>
          <w:tcPr>
            <w:tcW w:w="1017" w:type="dxa"/>
            <w:tcBorders>
              <w:top w:val="nil"/>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320" w:lineRule="atLeast"/>
              <w:ind w:left="60" w:right="60"/>
              <w:jc w:val="right"/>
              <w:rPr>
                <w:rFonts w:hint="default" w:ascii="MingLiU" w:hAnsi="MingLiU" w:eastAsia="MingLiU"/>
                <w:sz w:val="18"/>
                <w:szCs w:val="24"/>
              </w:rPr>
            </w:pPr>
            <w:r>
              <w:rPr>
                <w:rFonts w:hint="default" w:ascii="MingLiU" w:hAnsi="MingLiU" w:eastAsia="MingLiU"/>
                <w:sz w:val="18"/>
                <w:szCs w:val="24"/>
              </w:rPr>
              <w:t>.348</w:t>
            </w:r>
          </w:p>
        </w:tc>
      </w:tr>
    </w:tbl>
    <w:p>
      <w:pPr>
        <w:spacing w:beforeLines="0" w:afterLines="0" w:line="400" w:lineRule="atLeast"/>
        <w:rPr>
          <w:rFonts w:hint="default" w:ascii="Times New Roman" w:hAnsi="Times New Roman" w:eastAsia="Times New Roman"/>
          <w:b/>
          <w:bCs/>
          <w:sz w:val="24"/>
          <w:szCs w:val="24"/>
        </w:rPr>
      </w:pPr>
    </w:p>
    <w:p>
      <w:pPr>
        <w:spacing w:before="156" w:beforeLines="50" w:line="192" w:lineRule="auto"/>
        <w:jc w:val="left"/>
        <w:rPr>
          <w:rFonts w:hint="eastAsia"/>
          <w:szCs w:val="21"/>
          <w:lang w:val="en-US" w:eastAsia="zh-CN"/>
        </w:rPr>
      </w:pPr>
    </w:p>
    <w:p>
      <w:pPr>
        <w:spacing w:before="156" w:beforeLines="50" w:line="192" w:lineRule="auto"/>
        <w:jc w:val="left"/>
        <w:rPr>
          <w:rFonts w:hint="eastAsia"/>
          <w:szCs w:val="21"/>
          <w:lang w:val="en-US" w:eastAsia="zh-CN"/>
        </w:rPr>
      </w:pPr>
    </w:p>
    <w:p>
      <w:pPr>
        <w:spacing w:before="156" w:beforeLines="50" w:line="192" w:lineRule="auto"/>
        <w:jc w:val="left"/>
        <w:rPr>
          <w:rFonts w:hint="eastAsia"/>
          <w:szCs w:val="21"/>
          <w:lang w:val="en-US" w:eastAsia="zh-CN"/>
        </w:rPr>
      </w:pPr>
    </w:p>
    <w:p>
      <w:pPr>
        <w:spacing w:before="156" w:beforeLines="50" w:line="192" w:lineRule="auto"/>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p>
    <w:p>
      <w:pPr>
        <w:spacing w:before="156" w:beforeLines="50" w:line="192" w:lineRule="auto"/>
        <w:jc w:val="left"/>
        <w:rPr>
          <w:rFonts w:hint="eastAsia"/>
          <w:szCs w:val="21"/>
          <w:lang w:val="en-US" w:eastAsia="zh-CN"/>
        </w:rPr>
      </w:pPr>
    </w:p>
    <w:p>
      <w:pPr>
        <w:spacing w:before="156" w:beforeLines="50" w:line="192" w:lineRule="auto"/>
        <w:ind w:firstLine="420" w:firstLineChars="200"/>
        <w:jc w:val="left"/>
        <w:rPr>
          <w:rFonts w:hint="eastAsia"/>
          <w:szCs w:val="21"/>
          <w:lang w:val="en-US" w:eastAsia="zh-CN"/>
        </w:rPr>
      </w:pPr>
      <w:r>
        <w:rPr>
          <w:rFonts w:hint="eastAsia"/>
          <w:szCs w:val="21"/>
          <w:lang w:val="en-US" w:eastAsia="zh-CN"/>
        </w:rPr>
        <w:t>可以看出，方差为0.093，标准差为0.306，极差为1，偏度系数SK=-2.621&lt;0，为左偏分布，峰度系数K=4.923&gt;0，为尖峰分布。置信区间为[85%，94%]，置信下限为85%，置信上限为94%，允许误差为（94%-85%）/2=4.5%。在昆明地区高校大学生股票投资行为中，有95%的把握认为，大学生股票投资对于职业规划有影响的比率在85%到94%之间。</w:t>
      </w:r>
    </w:p>
    <w:p>
      <w:pPr>
        <w:numPr>
          <w:ilvl w:val="0"/>
          <w:numId w:val="0"/>
        </w:numPr>
        <w:spacing w:before="156" w:beforeLines="50" w:line="300" w:lineRule="auto"/>
        <w:ind w:firstLine="420" w:firstLineChars="200"/>
        <w:jc w:val="left"/>
        <w:rPr>
          <w:rFonts w:hint="eastAsia"/>
          <w:szCs w:val="21"/>
          <w:lang w:val="en-US" w:eastAsia="zh-CN"/>
        </w:rPr>
      </w:pPr>
      <w:r>
        <w:rPr>
          <w:rFonts w:hint="eastAsia"/>
          <w:szCs w:val="21"/>
          <w:lang w:val="en-US" w:eastAsia="zh-CN"/>
        </w:rPr>
        <w:t>由此可知，昆明地区高校大学生股票投资对职业规划来说有重大意义，可以指导个人投资者通过了解自身的投资特征进行投资</w:t>
      </w:r>
      <w:r>
        <w:rPr>
          <w:rStyle w:val="13"/>
          <w:rFonts w:hint="eastAsia"/>
        </w:rPr>
        <w:t>帮助大学生明确自我的兴趣点，逐渐清晰自己的人生职业发展方向，提高生涯规划意识。</w:t>
      </w:r>
      <w:r>
        <w:rPr>
          <w:rStyle w:val="13"/>
          <w:rFonts w:hint="eastAsia"/>
          <w:lang w:val="en-US"/>
        </w:rPr>
        <w:t>为此，给大学生的建议是，要</w:t>
      </w:r>
      <w:r>
        <w:rPr>
          <w:rStyle w:val="13"/>
          <w:rFonts w:hint="eastAsia"/>
        </w:rPr>
        <w:t>认识资本市场，提高自身的金融素养</w:t>
      </w:r>
      <w:r>
        <w:rPr>
          <w:rStyle w:val="13"/>
          <w:rFonts w:hint="eastAsia"/>
          <w:lang w:val="en-US"/>
        </w:rPr>
        <w:t>和</w:t>
      </w:r>
      <w:r>
        <w:rPr>
          <w:rStyle w:val="13"/>
          <w:rFonts w:hint="eastAsia"/>
        </w:rPr>
        <w:t>投资能力，</w:t>
      </w:r>
      <w:r>
        <w:rPr>
          <w:rStyle w:val="13"/>
          <w:rFonts w:hint="eastAsia"/>
          <w:lang w:val="en-US"/>
        </w:rPr>
        <w:t>将理论与实践结合起来，同时从实践中吸取教训和经验，</w:t>
      </w:r>
      <w:r>
        <w:rPr>
          <w:rStyle w:val="13"/>
          <w:rFonts w:hint="eastAsia"/>
        </w:rPr>
        <w:t>完善投资体系，</w:t>
      </w:r>
      <w:r>
        <w:rPr>
          <w:rStyle w:val="13"/>
          <w:rFonts w:hint="eastAsia"/>
          <w:lang w:val="en-US"/>
        </w:rPr>
        <w:t>不断提高自己，更加明晰人生规划和目标。</w:t>
      </w:r>
    </w:p>
    <w:p>
      <w:pPr>
        <w:numPr>
          <w:ilvl w:val="0"/>
          <w:numId w:val="0"/>
        </w:numPr>
        <w:spacing w:before="156" w:beforeLines="50" w:line="192" w:lineRule="auto"/>
        <w:ind w:leftChars="0"/>
        <w:jc w:val="both"/>
        <w:outlineLvl w:val="0"/>
        <w:rPr>
          <w:rFonts w:hint="eastAsia" w:ascii="黑体" w:hAnsi="黑体" w:eastAsia="黑体" w:cs="黑体"/>
          <w:b/>
          <w:bCs/>
          <w:sz w:val="36"/>
          <w:szCs w:val="36"/>
          <w:highlight w:val="none"/>
          <w:lang w:val="en-US" w:eastAsia="zh-CN"/>
        </w:rPr>
      </w:pPr>
      <w:bookmarkStart w:id="17" w:name="_Toc13002"/>
      <w:r>
        <w:rPr>
          <w:rFonts w:hint="eastAsia" w:ascii="黑体" w:hAnsi="黑体" w:eastAsia="黑体" w:cs="黑体"/>
          <w:b/>
          <w:bCs/>
          <w:sz w:val="36"/>
          <w:szCs w:val="36"/>
          <w:highlight w:val="none"/>
          <w:lang w:val="en-US" w:eastAsia="zh-CN"/>
        </w:rPr>
        <w:t>第三章 问卷结果分析</w:t>
      </w:r>
      <w:bookmarkEnd w:id="17"/>
    </w:p>
    <w:p>
      <w:pPr>
        <w:numPr>
          <w:ilvl w:val="0"/>
          <w:numId w:val="0"/>
        </w:numPr>
        <w:spacing w:before="156" w:beforeLines="50" w:line="192" w:lineRule="auto"/>
        <w:ind w:leftChars="0"/>
        <w:jc w:val="both"/>
        <w:outlineLvl w:val="1"/>
        <w:rPr>
          <w:rFonts w:hint="default" w:ascii="黑体" w:hAnsi="黑体" w:eastAsia="黑体" w:cs="黑体"/>
          <w:b/>
          <w:bCs/>
          <w:sz w:val="21"/>
          <w:szCs w:val="21"/>
          <w:highlight w:val="none"/>
          <w:lang w:val="en-US" w:eastAsia="zh-CN"/>
        </w:rPr>
      </w:pPr>
      <w:bookmarkStart w:id="18" w:name="_Toc16185"/>
      <w:r>
        <w:rPr>
          <w:rFonts w:hint="eastAsia" w:ascii="黑体" w:hAnsi="黑体" w:eastAsia="黑体" w:cs="黑体"/>
          <w:b/>
          <w:bCs/>
          <w:sz w:val="28"/>
          <w:szCs w:val="28"/>
          <w:highlight w:val="none"/>
          <w:lang w:val="en-US" w:eastAsia="zh-CN"/>
        </w:rPr>
        <w:t>3.1 股票投资影响因素分析</w:t>
      </w:r>
      <w:bookmarkEnd w:id="18"/>
    </w:p>
    <w:p>
      <w:pPr>
        <w:numPr>
          <w:ilvl w:val="0"/>
          <w:numId w:val="0"/>
        </w:numPr>
        <w:snapToGrid/>
        <w:spacing w:before="0" w:beforeAutospacing="0" w:after="0" w:afterAutospacing="0" w:line="240" w:lineRule="auto"/>
        <w:ind w:firstLine="420" w:firstLineChars="200"/>
        <w:jc w:val="both"/>
        <w:textAlignment w:val="baseline"/>
        <w:rPr>
          <w:rStyle w:val="13"/>
          <w:rFonts w:hint="default"/>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在问卷的调查结果中，有34.2%的大学生人群接触投资股票的时间在半年到一年之间，表明大部分大学生的专业知识并无适用时间或实践时间较短；仅有12.44%的人群接触时间在两年及以上，而且他们的专业均选择了金融学和经济学等相关专业，表明接触投资股票的时间较长的情况由于专业选择的影响比较大。有72.54%的人群学过相关知识，主要有学校设置的专业课</w:t>
      </w:r>
      <w:r>
        <w:rPr>
          <w:rFonts w:hint="eastAsia"/>
          <w:szCs w:val="21"/>
          <w:lang w:val="en-US" w:eastAsia="zh-CN"/>
        </w:rPr>
        <w:t>、科普等讲座和</w:t>
      </w:r>
      <w:r>
        <w:rPr>
          <w:rStyle w:val="13"/>
          <w:rFonts w:hint="eastAsia"/>
          <w:b w:val="0"/>
          <w:bCs w:val="0"/>
          <w:i w:val="0"/>
          <w:caps w:val="0"/>
          <w:spacing w:val="0"/>
          <w:w w:val="100"/>
          <w:kern w:val="2"/>
          <w:sz w:val="21"/>
          <w:szCs w:val="21"/>
          <w:lang w:val="en-US" w:eastAsia="zh-CN" w:bidi="ar-SA"/>
        </w:rPr>
        <w:t>相关比赛，而且认为学校课程设置合理的占86.01%；其中所学知识起作用的占73.06%。说明专业课和相关比赛对大部分学生来说更有效更有用，能激起学生股票投资的参与度和兴趣，对学生的指导作用较强。</w:t>
      </w:r>
    </w:p>
    <w:p>
      <w:pPr>
        <w:numPr>
          <w:ilvl w:val="0"/>
          <w:numId w:val="0"/>
        </w:numPr>
        <w:spacing w:before="156" w:beforeLines="50" w:line="192" w:lineRule="auto"/>
        <w:ind w:leftChars="0"/>
        <w:jc w:val="both"/>
        <w:outlineLvl w:val="1"/>
        <w:rPr>
          <w:rFonts w:hint="default" w:ascii="黑体" w:hAnsi="黑体" w:eastAsia="黑体" w:cs="黑体"/>
          <w:b/>
          <w:bCs/>
          <w:sz w:val="28"/>
          <w:szCs w:val="28"/>
          <w:highlight w:val="none"/>
          <w:lang w:val="en-US" w:eastAsia="zh-CN"/>
        </w:rPr>
      </w:pPr>
      <w:bookmarkStart w:id="19" w:name="_Toc2170"/>
      <w:r>
        <w:rPr>
          <w:rFonts w:hint="eastAsia" w:ascii="黑体" w:hAnsi="黑体" w:eastAsia="黑体" w:cs="黑体"/>
          <w:b/>
          <w:bCs/>
          <w:sz w:val="28"/>
          <w:szCs w:val="28"/>
          <w:highlight w:val="none"/>
          <w:lang w:val="en-US" w:eastAsia="zh-CN"/>
        </w:rPr>
        <w:t>3.2 股票投资影响结果分析</w:t>
      </w:r>
      <w:bookmarkEnd w:id="19"/>
    </w:p>
    <w:p>
      <w:pPr>
        <w:snapToGrid/>
        <w:spacing w:before="0" w:beforeAutospacing="0" w:after="0" w:afterAutospacing="0" w:line="240" w:lineRule="auto"/>
        <w:jc w:val="both"/>
        <w:textAlignment w:val="baseline"/>
        <w:rPr>
          <w:rStyle w:val="13"/>
          <w:rFonts w:hint="default"/>
          <w:b w:val="0"/>
          <w:bCs w:val="0"/>
          <w:i w:val="0"/>
          <w:caps w:val="0"/>
          <w:spacing w:val="0"/>
          <w:w w:val="100"/>
          <w:kern w:val="2"/>
          <w:sz w:val="21"/>
          <w:szCs w:val="21"/>
          <w:lang w:val="en-US" w:eastAsia="zh-CN" w:bidi="ar-SA"/>
        </w:rPr>
      </w:pPr>
    </w:p>
    <w:p>
      <w:pPr>
        <w:numPr>
          <w:ilvl w:val="0"/>
          <w:numId w:val="0"/>
        </w:numPr>
        <w:snapToGrid/>
        <w:spacing w:before="0" w:beforeAutospacing="0" w:after="0" w:afterAutospacing="0" w:line="240" w:lineRule="auto"/>
        <w:ind w:leftChars="0" w:firstLine="420" w:firstLineChars="200"/>
        <w:jc w:val="both"/>
        <w:textAlignment w:val="baseline"/>
        <w:rPr>
          <w:rStyle w:val="13"/>
          <w:rFonts w:hint="eastAsia"/>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从股票投资的影响来看，75.13%的同学认为可以提高理财意识，超半成的同学认为丰富了实践经验和专业素养，有64.77%的同学会考虑从事相关工作，说明投资股票有助于明确职业发展方向。仅有10.36%的投资者认为浪费了时间和金钱。</w:t>
      </w:r>
    </w:p>
    <w:p>
      <w:pPr>
        <w:numPr>
          <w:ilvl w:val="0"/>
          <w:numId w:val="0"/>
        </w:numPr>
        <w:snapToGrid/>
        <w:spacing w:before="0" w:beforeAutospacing="0" w:after="0" w:afterAutospacing="0" w:line="240" w:lineRule="auto"/>
        <w:ind w:leftChars="0" w:firstLine="420" w:firstLineChars="200"/>
        <w:jc w:val="both"/>
        <w:textAlignment w:val="baseline"/>
        <w:rPr>
          <w:rStyle w:val="13"/>
          <w:rFonts w:hint="eastAsia"/>
          <w:b w:val="0"/>
          <w:bCs w:val="0"/>
          <w:i w:val="0"/>
          <w:caps w:val="0"/>
          <w:spacing w:val="0"/>
          <w:w w:val="100"/>
          <w:kern w:val="2"/>
          <w:sz w:val="21"/>
          <w:szCs w:val="21"/>
          <w:lang w:val="en-US" w:eastAsia="zh-CN" w:bidi="ar-SA"/>
        </w:rPr>
      </w:pPr>
    </w:p>
    <w:p>
      <w:pPr>
        <w:numPr>
          <w:ilvl w:val="0"/>
          <w:numId w:val="0"/>
        </w:numPr>
        <w:snapToGrid/>
        <w:spacing w:before="0" w:beforeAutospacing="0" w:after="0" w:afterAutospacing="0" w:line="240" w:lineRule="auto"/>
        <w:ind w:leftChars="0"/>
        <w:jc w:val="both"/>
        <w:textAlignment w:val="baseline"/>
        <w:rPr>
          <w:rStyle w:val="13"/>
          <w:rFonts w:hint="default"/>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 xml:space="preserve">             </w:t>
      </w:r>
      <w:r>
        <w:rPr>
          <w:rStyle w:val="13"/>
          <w:rFonts w:hint="default"/>
          <w:b w:val="0"/>
          <w:bCs w:val="0"/>
          <w:i w:val="0"/>
          <w:caps w:val="0"/>
          <w:spacing w:val="0"/>
          <w:w w:val="100"/>
          <w:kern w:val="2"/>
          <w:sz w:val="21"/>
          <w:szCs w:val="21"/>
          <w:lang w:val="en-US" w:eastAsia="zh-CN" w:bidi="ar-SA"/>
        </w:rPr>
        <w:drawing>
          <wp:inline distT="0" distB="0" distL="114300" distR="114300">
            <wp:extent cx="2767330" cy="1568450"/>
            <wp:effectExtent l="0" t="0" r="6350" b="1270"/>
            <wp:docPr id="7" name="图片 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
                    <pic:cNvPicPr>
                      <a:picLocks noChangeAspect="1"/>
                    </pic:cNvPicPr>
                  </pic:nvPicPr>
                  <pic:blipFill>
                    <a:blip r:embed="rId7"/>
                    <a:stretch>
                      <a:fillRect/>
                    </a:stretch>
                  </pic:blipFill>
                  <pic:spPr>
                    <a:xfrm>
                      <a:off x="0" y="0"/>
                      <a:ext cx="2767330" cy="1568450"/>
                    </a:xfrm>
                    <a:prstGeom prst="rect">
                      <a:avLst/>
                    </a:prstGeom>
                  </pic:spPr>
                </pic:pic>
              </a:graphicData>
            </a:graphic>
          </wp:inline>
        </w:drawing>
      </w:r>
    </w:p>
    <w:p>
      <w:pPr>
        <w:numPr>
          <w:ilvl w:val="0"/>
          <w:numId w:val="0"/>
        </w:numPr>
        <w:snapToGrid/>
        <w:spacing w:before="0" w:beforeAutospacing="0" w:after="0" w:afterAutospacing="0" w:line="240" w:lineRule="auto"/>
        <w:ind w:leftChars="0"/>
        <w:jc w:val="both"/>
        <w:textAlignment w:val="baseline"/>
        <w:rPr>
          <w:rStyle w:val="13"/>
          <w:rFonts w:hint="eastAsia"/>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 xml:space="preserve">                       图3  投资股票给您带来哪些影响？</w:t>
      </w:r>
    </w:p>
    <w:p>
      <w:pPr>
        <w:numPr>
          <w:ilvl w:val="0"/>
          <w:numId w:val="0"/>
        </w:numPr>
        <w:snapToGrid/>
        <w:spacing w:before="0" w:beforeAutospacing="0" w:after="0" w:afterAutospacing="0" w:line="240" w:lineRule="auto"/>
        <w:ind w:leftChars="0"/>
        <w:jc w:val="both"/>
        <w:textAlignment w:val="baseline"/>
        <w:rPr>
          <w:rStyle w:val="13"/>
          <w:rFonts w:hint="default"/>
          <w:b w:val="0"/>
          <w:bCs w:val="0"/>
          <w:i w:val="0"/>
          <w:caps w:val="0"/>
          <w:spacing w:val="0"/>
          <w:w w:val="100"/>
          <w:kern w:val="2"/>
          <w:sz w:val="21"/>
          <w:szCs w:val="21"/>
          <w:lang w:val="en-US" w:eastAsia="zh-CN" w:bidi="ar-SA"/>
        </w:rPr>
      </w:pPr>
    </w:p>
    <w:p>
      <w:pPr>
        <w:numPr>
          <w:ilvl w:val="0"/>
          <w:numId w:val="0"/>
        </w:numPr>
        <w:spacing w:before="156" w:beforeLines="50" w:line="192" w:lineRule="auto"/>
        <w:ind w:leftChars="0"/>
        <w:jc w:val="both"/>
        <w:outlineLvl w:val="1"/>
        <w:rPr>
          <w:rFonts w:hint="default" w:ascii="黑体" w:hAnsi="黑体" w:eastAsia="黑体" w:cs="黑体"/>
          <w:b/>
          <w:bCs/>
          <w:sz w:val="28"/>
          <w:szCs w:val="28"/>
          <w:highlight w:val="none"/>
          <w:lang w:val="en-US" w:eastAsia="zh-CN"/>
        </w:rPr>
      </w:pPr>
      <w:bookmarkStart w:id="20" w:name="_Toc5055"/>
      <w:r>
        <w:rPr>
          <w:rFonts w:hint="eastAsia" w:ascii="黑体" w:hAnsi="黑体" w:eastAsia="黑体" w:cs="黑体"/>
          <w:b/>
          <w:bCs/>
          <w:sz w:val="28"/>
          <w:szCs w:val="28"/>
          <w:highlight w:val="none"/>
          <w:lang w:val="en-US" w:eastAsia="zh-CN"/>
        </w:rPr>
        <w:t>3.3 股票投资对职业规划影响分析</w:t>
      </w:r>
      <w:bookmarkEnd w:id="20"/>
    </w:p>
    <w:p>
      <w:pPr>
        <w:numPr>
          <w:ilvl w:val="0"/>
          <w:numId w:val="0"/>
        </w:numPr>
        <w:snapToGrid/>
        <w:spacing w:before="0" w:beforeAutospacing="0" w:after="0" w:afterAutospacing="0" w:line="240" w:lineRule="auto"/>
        <w:ind w:leftChars="0"/>
        <w:jc w:val="both"/>
        <w:textAlignment w:val="baseline"/>
        <w:rPr>
          <w:rStyle w:val="13"/>
          <w:rFonts w:hint="default"/>
          <w:b w:val="0"/>
          <w:bCs w:val="0"/>
          <w:i w:val="0"/>
          <w:caps w:val="0"/>
          <w:spacing w:val="0"/>
          <w:w w:val="100"/>
          <w:kern w:val="2"/>
          <w:sz w:val="21"/>
          <w:szCs w:val="21"/>
          <w:lang w:val="en-US" w:eastAsia="zh-CN" w:bidi="ar-SA"/>
        </w:rPr>
      </w:pPr>
    </w:p>
    <w:p>
      <w:pPr>
        <w:numPr>
          <w:ilvl w:val="0"/>
          <w:numId w:val="3"/>
        </w:numPr>
        <w:snapToGrid/>
        <w:spacing w:before="0" w:beforeAutospacing="0" w:after="0" w:afterAutospacing="0" w:line="240" w:lineRule="auto"/>
        <w:ind w:leftChars="0"/>
        <w:jc w:val="both"/>
        <w:textAlignment w:val="baseline"/>
        <w:rPr>
          <w:rStyle w:val="13"/>
          <w:rFonts w:hint="eastAsia"/>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通过分类统计，有48.19%的学生倾向于从事证券/基金/银行/会计等相关行业，选择将投资作为副业的占27.98%，股票投资行为对职业规划没有影响的占10.36%。其中有31.18%的同学考虑分析类的工作，因为在股票投资过程中学会了运用k线图和计算机，提高了股票分析能力和预估的准确性；有29.03%的同学考虑从事理财类工作，因为股票投资培养了其理财能力和理财兴趣；有23.66%的同学考虑从事管理类工作，因为股票投资提高了其风险管理能力，更加关注上市公司的管理层状况。其中，仅有16.13%的同学选择销售类工作。在从事证券/基金/银行/会计等相关行业这些样本中，对于相关行业的职位类型有以下分布。</w:t>
      </w:r>
    </w:p>
    <w:p>
      <w:pPr>
        <w:snapToGrid/>
        <w:spacing w:before="0" w:beforeAutospacing="0" w:after="0" w:afterAutospacing="0" w:line="240" w:lineRule="auto"/>
        <w:jc w:val="both"/>
        <w:textAlignment w:val="baseline"/>
        <w:rPr>
          <w:rStyle w:val="13"/>
          <w:rFonts w:hint="eastAsia"/>
          <w:b w:val="0"/>
          <w:bCs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13"/>
          <w:rFonts w:hint="default"/>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 xml:space="preserve">                   </w:t>
      </w:r>
      <w:r>
        <w:rPr>
          <w:rStyle w:val="13"/>
          <w:rFonts w:hint="default"/>
          <w:b w:val="0"/>
          <w:bCs w:val="0"/>
          <w:i w:val="0"/>
          <w:caps w:val="0"/>
          <w:spacing w:val="0"/>
          <w:w w:val="100"/>
          <w:kern w:val="2"/>
          <w:sz w:val="21"/>
          <w:szCs w:val="21"/>
          <w:lang w:val="en-US" w:eastAsia="zh-CN" w:bidi="ar-SA"/>
        </w:rPr>
        <w:drawing>
          <wp:inline distT="0" distB="0" distL="114300" distR="114300">
            <wp:extent cx="2743835" cy="1555115"/>
            <wp:effectExtent l="0" t="0" r="14605" b="14605"/>
            <wp:docPr id="10" name="图片 10"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
                    <pic:cNvPicPr>
                      <a:picLocks noChangeAspect="1"/>
                    </pic:cNvPicPr>
                  </pic:nvPicPr>
                  <pic:blipFill>
                    <a:blip r:embed="rId8"/>
                    <a:stretch>
                      <a:fillRect/>
                    </a:stretch>
                  </pic:blipFill>
                  <pic:spPr>
                    <a:xfrm>
                      <a:off x="0" y="0"/>
                      <a:ext cx="2743835" cy="1555115"/>
                    </a:xfrm>
                    <a:prstGeom prst="rect">
                      <a:avLst/>
                    </a:prstGeom>
                  </pic:spPr>
                </pic:pic>
              </a:graphicData>
            </a:graphic>
          </wp:inline>
        </w:drawing>
      </w:r>
    </w:p>
    <w:p>
      <w:pPr>
        <w:snapToGrid/>
        <w:spacing w:before="0" w:beforeAutospacing="0" w:after="0" w:afterAutospacing="0" w:line="240" w:lineRule="auto"/>
        <w:jc w:val="both"/>
        <w:textAlignment w:val="baseline"/>
        <w:rPr>
          <w:rStyle w:val="13"/>
          <w:rFonts w:hint="eastAsia"/>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 xml:space="preserve">            图4   您倾向从事证券/基金/银行/会计等相关行业哪一方面？</w:t>
      </w:r>
    </w:p>
    <w:p>
      <w:pPr>
        <w:snapToGrid/>
        <w:spacing w:before="0" w:beforeAutospacing="0" w:after="0" w:afterAutospacing="0" w:line="240" w:lineRule="auto"/>
        <w:jc w:val="both"/>
        <w:textAlignment w:val="baseline"/>
        <w:rPr>
          <w:rStyle w:val="13"/>
          <w:rFonts w:hint="eastAsia"/>
          <w:b w:val="0"/>
          <w:bCs w:val="0"/>
          <w:i w:val="0"/>
          <w:caps w:val="0"/>
          <w:spacing w:val="0"/>
          <w:w w:val="100"/>
          <w:kern w:val="2"/>
          <w:sz w:val="21"/>
          <w:szCs w:val="21"/>
          <w:lang w:val="en-US" w:eastAsia="zh-CN" w:bidi="ar-SA"/>
        </w:rPr>
      </w:pPr>
    </w:p>
    <w:p>
      <w:pPr>
        <w:numPr>
          <w:ilvl w:val="0"/>
          <w:numId w:val="3"/>
        </w:numPr>
        <w:snapToGrid/>
        <w:spacing w:before="0" w:beforeAutospacing="0" w:after="0" w:afterAutospacing="0" w:line="240" w:lineRule="auto"/>
        <w:ind w:left="0" w:leftChars="0" w:firstLine="0" w:firstLineChars="0"/>
        <w:jc w:val="both"/>
        <w:textAlignment w:val="baseline"/>
        <w:rPr>
          <w:rStyle w:val="13"/>
          <w:rFonts w:hint="eastAsia"/>
          <w:b w:val="0"/>
          <w:bCs w:val="0"/>
          <w:i w:val="0"/>
          <w:caps w:val="0"/>
          <w:spacing w:val="0"/>
          <w:w w:val="100"/>
          <w:kern w:val="2"/>
          <w:sz w:val="21"/>
          <w:szCs w:val="21"/>
          <w:lang w:val="en-US" w:eastAsia="zh-CN" w:bidi="ar-SA"/>
        </w:rPr>
      </w:pPr>
      <w:r>
        <w:rPr>
          <w:rStyle w:val="13"/>
          <w:rFonts w:hint="eastAsia"/>
          <w:b w:val="0"/>
          <w:bCs w:val="0"/>
          <w:i w:val="0"/>
          <w:caps w:val="0"/>
          <w:spacing w:val="0"/>
          <w:w w:val="100"/>
          <w:kern w:val="2"/>
          <w:sz w:val="21"/>
          <w:szCs w:val="21"/>
          <w:lang w:val="en-US" w:eastAsia="zh-CN" w:bidi="ar-SA"/>
        </w:rPr>
        <w:t>在图4的饼图中，选择这四类不同工作受到股票投资经历的深刻影响，具体原因有以下方面。在股票投资过程中学会将资金分散在多个篮子中来组合，提高了风险管理能力和资金运用能力，促使投资者倾向于选择管理类金融工作；在股票投资过程中善于关注公司管理层，学会K线图和计算机来对股票趋势进行预测，显著提高了股票投资的分析能力，促使投资者倾向于选择分析类的金融工作；在股票投资中善于关注不同金融产品，善于把资金分散在多个篮子来组合，使得资金收益实现最大化，同时在投资中增加了对理财行业的了解，促使投资者倾向于理财类金融工作；在投资过程中善于关注持有不同产品的人群类型，善于关注各个金融产品的特点，此外股票投资过程显著提高了临场反应能力，有利于销售中各种临场变化和交流沟通能力，促使这类投资者倾向于选择销售类金融工作。</w:t>
      </w:r>
    </w:p>
    <w:p>
      <w:pPr>
        <w:numPr>
          <w:ilvl w:val="0"/>
          <w:numId w:val="0"/>
        </w:numPr>
        <w:spacing w:before="156" w:beforeLines="50" w:line="192" w:lineRule="auto"/>
        <w:ind w:leftChars="0"/>
        <w:jc w:val="left"/>
        <w:outlineLvl w:val="0"/>
        <w:rPr>
          <w:rFonts w:hint="eastAsia" w:asciiTheme="minorEastAsia" w:hAnsiTheme="minorEastAsia" w:eastAsiaTheme="minorEastAsia" w:cstheme="minorEastAsia"/>
          <w:b w:val="0"/>
          <w:bCs w:val="0"/>
          <w:sz w:val="21"/>
          <w:szCs w:val="21"/>
          <w:highlight w:val="none"/>
          <w:lang w:val="en-US" w:eastAsia="zh-CN"/>
        </w:rPr>
      </w:pPr>
      <w:bookmarkStart w:id="21" w:name="_Toc25796"/>
      <w:r>
        <w:rPr>
          <w:rFonts w:hint="eastAsia" w:ascii="黑体" w:hAnsi="黑体" w:eastAsia="黑体" w:cs="黑体"/>
          <w:b/>
          <w:bCs/>
          <w:sz w:val="36"/>
          <w:szCs w:val="36"/>
          <w:highlight w:val="none"/>
          <w:lang w:val="en-US" w:eastAsia="zh-CN"/>
        </w:rPr>
        <w:t>第四章 项目总结</w:t>
      </w:r>
      <w:bookmarkEnd w:id="21"/>
    </w:p>
    <w:p>
      <w:pPr>
        <w:numPr>
          <w:ilvl w:val="0"/>
          <w:numId w:val="0"/>
        </w:numPr>
        <w:spacing w:before="156" w:beforeLines="50" w:line="192" w:lineRule="auto"/>
        <w:ind w:leftChars="0" w:firstLine="420" w:firstLineChars="20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基于昆明地区研究现状：</w:t>
      </w:r>
      <w:r>
        <w:rPr>
          <w:rFonts w:hint="eastAsia" w:asciiTheme="minorEastAsia" w:hAnsiTheme="minorEastAsia" w:cstheme="minorEastAsia"/>
          <w:b w:val="0"/>
          <w:bCs w:val="0"/>
          <w:sz w:val="21"/>
          <w:szCs w:val="21"/>
          <w:highlight w:val="none"/>
          <w:lang w:val="en-US" w:eastAsia="zh-CN"/>
        </w:rPr>
        <w:t>可看出</w:t>
      </w:r>
      <w:r>
        <w:rPr>
          <w:rFonts w:hint="eastAsia" w:asciiTheme="minorEastAsia" w:hAnsiTheme="minorEastAsia" w:eastAsiaTheme="minorEastAsia" w:cstheme="minorEastAsia"/>
          <w:b w:val="0"/>
          <w:bCs w:val="0"/>
          <w:sz w:val="21"/>
          <w:szCs w:val="21"/>
          <w:highlight w:val="none"/>
          <w:lang w:val="en-US" w:eastAsia="zh-CN"/>
        </w:rPr>
        <w:t>昆明地区大学生投资股票意识在增强；昆明地区经济相关专业的大学生人数比较少；从股票投资人数比例来看，中高年级人数大于低年级人数，经济类专业的人数大于其他专业人数</w:t>
      </w:r>
      <w:r>
        <w:rPr>
          <w:rFonts w:hint="eastAsia" w:asciiTheme="minorEastAsia" w:hAnsi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超半成的同学认为丰富了实践经验和专业素养，而且有助于明确职业发展方向</w:t>
      </w:r>
      <w:r>
        <w:rPr>
          <w:rFonts w:hint="eastAsia" w:asciiTheme="minorEastAsia" w:hAnsi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选择金融行业的相关工作</w:t>
      </w:r>
      <w:r>
        <w:rPr>
          <w:rFonts w:hint="eastAsia" w:asciiTheme="minorEastAsia" w:hAnsiTheme="minorEastAsia" w:cstheme="minorEastAsia"/>
          <w:b w:val="0"/>
          <w:bCs w:val="0"/>
          <w:sz w:val="21"/>
          <w:szCs w:val="21"/>
          <w:highlight w:val="none"/>
          <w:lang w:val="en-US" w:eastAsia="zh-CN"/>
        </w:rPr>
        <w:t>。</w:t>
      </w:r>
    </w:p>
    <w:p>
      <w:pPr>
        <w:numPr>
          <w:ilvl w:val="0"/>
          <w:numId w:val="0"/>
        </w:numPr>
        <w:spacing w:before="156" w:beforeLines="50" w:line="192" w:lineRule="auto"/>
        <w:ind w:leftChars="0" w:firstLine="420" w:firstLineChars="200"/>
        <w:jc w:val="both"/>
        <w:outlineLvl w:val="9"/>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本次研究旨在对投资股票对大学生资金管理能力的影响</w:t>
      </w:r>
      <w:r>
        <w:rPr>
          <w:rFonts w:hint="eastAsia" w:asciiTheme="minorEastAsia" w:hAnsi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和对其未来就业方向的影响做基础性的研究，同时探讨调查专业知识学习的不同程度的同学对股票投资的认知程度和收益程度，如果对大学生们的人生规划的建立完善和高校相关专业课程的改进完善有些许裨益都将是我</w:t>
      </w:r>
      <w:r>
        <w:rPr>
          <w:rFonts w:hint="eastAsia" w:asciiTheme="minorEastAsia" w:hAnsiTheme="minorEastAsia" w:cstheme="minorEastAsia"/>
          <w:b w:val="0"/>
          <w:bCs w:val="0"/>
          <w:sz w:val="21"/>
          <w:szCs w:val="21"/>
          <w:highlight w:val="none"/>
          <w:lang w:val="en-US" w:eastAsia="zh-CN"/>
        </w:rPr>
        <w:t>们</w:t>
      </w:r>
      <w:r>
        <w:rPr>
          <w:rFonts w:hint="eastAsia" w:asciiTheme="minorEastAsia" w:hAnsiTheme="minorEastAsia" w:eastAsiaTheme="minorEastAsia" w:cstheme="minorEastAsia"/>
          <w:b w:val="0"/>
          <w:bCs w:val="0"/>
          <w:sz w:val="21"/>
          <w:szCs w:val="21"/>
          <w:highlight w:val="none"/>
          <w:lang w:val="en-US" w:eastAsia="zh-CN"/>
        </w:rPr>
        <w:t>的荣幸。</w:t>
      </w:r>
    </w:p>
    <w:p>
      <w:pPr>
        <w:numPr>
          <w:ilvl w:val="0"/>
          <w:numId w:val="0"/>
        </w:numPr>
        <w:spacing w:before="156" w:beforeLines="50" w:line="192" w:lineRule="auto"/>
        <w:ind w:leftChars="0"/>
        <w:jc w:val="left"/>
        <w:outlineLvl w:val="0"/>
        <w:rPr>
          <w:rFonts w:hint="eastAsia" w:ascii="黑体" w:hAnsi="黑体" w:eastAsia="黑体" w:cs="黑体"/>
          <w:b/>
          <w:bCs/>
          <w:sz w:val="24"/>
          <w:szCs w:val="24"/>
          <w:highlight w:val="none"/>
          <w:lang w:val="en-US" w:eastAsia="zh-CN"/>
        </w:rPr>
      </w:pPr>
      <w:bookmarkStart w:id="22" w:name="_Toc23877"/>
      <w:r>
        <w:rPr>
          <w:rFonts w:hint="eastAsia" w:ascii="黑体" w:hAnsi="黑体" w:eastAsia="黑体" w:cs="黑体"/>
          <w:b/>
          <w:bCs/>
          <w:sz w:val="24"/>
          <w:szCs w:val="24"/>
          <w:highlight w:val="none"/>
          <w:lang w:val="en-US" w:eastAsia="zh-CN"/>
        </w:rPr>
        <w:t>参考文献</w:t>
      </w:r>
      <w:bookmarkEnd w:id="22"/>
      <w:r>
        <w:rPr>
          <w:rFonts w:hint="eastAsia" w:ascii="黑体" w:hAnsi="黑体" w:eastAsia="黑体" w:cs="黑体"/>
          <w:b/>
          <w:bCs/>
          <w:sz w:val="24"/>
          <w:szCs w:val="24"/>
          <w:highlight w:val="none"/>
          <w:lang w:val="en-US" w:eastAsia="zh-CN"/>
        </w:rPr>
        <w:t>：</w:t>
      </w:r>
    </w:p>
    <w:p>
      <w:pPr>
        <w:numPr>
          <w:ilvl w:val="0"/>
          <w:numId w:val="0"/>
        </w:numPr>
        <w:spacing w:before="156" w:beforeLines="50" w:line="192" w:lineRule="auto"/>
        <w:ind w:leftChars="0"/>
        <w:jc w:val="both"/>
        <w:rPr>
          <w:rStyle w:val="13"/>
          <w:rFonts w:hint="eastAsia"/>
          <w:lang w:val="en-US" w:eastAsia="zh-CN"/>
        </w:rPr>
      </w:pPr>
      <w:r>
        <w:rPr>
          <w:rStyle w:val="13"/>
          <w:rFonts w:hint="eastAsia"/>
          <w:lang w:val="en-US" w:eastAsia="zh-CN"/>
        </w:rPr>
        <w:t>[</w:t>
      </w:r>
      <w:r>
        <w:rPr>
          <w:rStyle w:val="13"/>
          <w:rFonts w:hint="default"/>
          <w:lang w:val="en-US" w:eastAsia="zh-CN"/>
        </w:rPr>
        <w:t>1]</w:t>
      </w:r>
      <w:r>
        <w:rPr>
          <w:rStyle w:val="13"/>
          <w:rFonts w:hint="eastAsia"/>
          <w:lang w:val="en-US" w:eastAsia="zh-CN"/>
        </w:rPr>
        <w:t>《在校大学生炒股情况的调研报告》百度文库</w:t>
      </w:r>
    </w:p>
    <w:p>
      <w:pPr>
        <w:numPr>
          <w:ilvl w:val="0"/>
          <w:numId w:val="0"/>
        </w:numPr>
        <w:spacing w:before="156" w:beforeLines="50" w:line="192" w:lineRule="auto"/>
        <w:ind w:leftChars="0"/>
        <w:jc w:val="both"/>
        <w:rPr>
          <w:rStyle w:val="13"/>
          <w:rFonts w:hint="default"/>
          <w:lang w:val="en-US" w:eastAsia="zh-CN"/>
        </w:rPr>
      </w:pPr>
      <w:r>
        <w:rPr>
          <w:rStyle w:val="13"/>
          <w:rFonts w:hint="eastAsia"/>
          <w:lang w:val="en-US" w:eastAsia="zh-CN"/>
        </w:rPr>
        <w:t>[</w:t>
      </w:r>
      <w:r>
        <w:rPr>
          <w:rStyle w:val="13"/>
          <w:rFonts w:hint="default"/>
          <w:lang w:val="en-US" w:eastAsia="zh-CN"/>
        </w:rPr>
        <w:t>2]</w:t>
      </w:r>
      <w:r>
        <w:rPr>
          <w:rStyle w:val="13"/>
          <w:rFonts w:hint="eastAsia"/>
          <w:lang w:val="en-US" w:eastAsia="zh-CN"/>
        </w:rPr>
        <w:t xml:space="preserve">《学生视角下的在校大学生股票投资利弊分析》董新璐 章洁倩[C]. </w:t>
      </w:r>
    </w:p>
    <w:p>
      <w:pPr>
        <w:numPr>
          <w:ilvl w:val="0"/>
          <w:numId w:val="0"/>
        </w:numPr>
        <w:spacing w:before="156" w:beforeLines="50" w:line="192" w:lineRule="auto"/>
        <w:ind w:leftChars="0"/>
        <w:jc w:val="both"/>
        <w:rPr>
          <w:rStyle w:val="13"/>
          <w:rFonts w:hint="eastAsia"/>
          <w:lang w:val="en-US" w:eastAsia="zh-CN"/>
        </w:rPr>
      </w:pPr>
      <w:r>
        <w:rPr>
          <w:rStyle w:val="13"/>
          <w:rFonts w:hint="eastAsia"/>
          <w:lang w:val="en-US" w:eastAsia="zh-CN"/>
        </w:rPr>
        <w:t>[3]《大学生金融投资现状以及影响因素分析以——西南大学为例》 秦雨</w:t>
      </w:r>
    </w:p>
    <w:p>
      <w:pPr>
        <w:numPr>
          <w:ilvl w:val="0"/>
          <w:numId w:val="0"/>
        </w:numPr>
        <w:spacing w:before="156" w:beforeLines="50" w:line="192" w:lineRule="auto"/>
        <w:ind w:leftChars="0"/>
        <w:jc w:val="both"/>
        <w:rPr>
          <w:rStyle w:val="13"/>
          <w:rFonts w:hint="default"/>
          <w:lang w:val="en-US" w:eastAsia="zh-CN"/>
        </w:rPr>
      </w:pPr>
      <w:r>
        <w:rPr>
          <w:rStyle w:val="13"/>
          <w:rFonts w:hint="eastAsia"/>
          <w:lang w:val="en-US" w:eastAsia="zh-CN"/>
        </w:rPr>
        <w:t>[4]</w:t>
      </w:r>
      <w:r>
        <w:rPr>
          <w:rStyle w:val="13"/>
          <w:rFonts w:hint="default"/>
          <w:lang w:val="en-US" w:eastAsia="zh-CN"/>
        </w:rPr>
        <w:t>李文博，刘红婷，刘雨涵，李援月，大学生投资理财观念和行为分析——基于石家庄高校的实证调查研究 [J].商业文化(下半月)，2012.11.234.</w:t>
      </w:r>
    </w:p>
    <w:p>
      <w:pPr>
        <w:numPr>
          <w:ilvl w:val="0"/>
          <w:numId w:val="0"/>
        </w:numPr>
        <w:spacing w:before="156" w:beforeLines="50" w:line="192" w:lineRule="auto"/>
        <w:ind w:leftChars="0"/>
        <w:jc w:val="both"/>
        <w:rPr>
          <w:rStyle w:val="13"/>
          <w:rFonts w:hint="default"/>
          <w:lang w:val="en-US" w:eastAsia="zh-CN"/>
        </w:rPr>
      </w:pPr>
      <w:r>
        <w:rPr>
          <w:rStyle w:val="13"/>
          <w:rFonts w:hint="eastAsia"/>
          <w:lang w:val="en-US" w:eastAsia="zh-CN"/>
        </w:rPr>
        <w:t>[5]</w:t>
      </w:r>
      <w:r>
        <w:rPr>
          <w:rStyle w:val="13"/>
          <w:rFonts w:hint="default"/>
          <w:lang w:val="en-US" w:eastAsia="zh-CN"/>
        </w:rPr>
        <w:t>聂勇，包友梅，陈小敏，书晓迪，黄冬瑾，雷雪明，梁金丽，周超.基于Logit模型的大学生金融投资行为研究 以广西财经学院为例</w:t>
      </w:r>
      <w:r>
        <w:rPr>
          <w:rStyle w:val="13"/>
          <w:rFonts w:hint="eastAsia"/>
          <w:lang w:val="en-US" w:eastAsia="zh-CN"/>
        </w:rPr>
        <w:t xml:space="preserve"> [J].</w:t>
      </w:r>
      <w:r>
        <w:rPr>
          <w:rStyle w:val="13"/>
          <w:rFonts w:hint="default"/>
          <w:lang w:val="en-US" w:eastAsia="zh-CN"/>
        </w:rPr>
        <w:t>广西财经学院学报，2013.02.62-68.</w:t>
      </w:r>
    </w:p>
    <w:p>
      <w:pPr>
        <w:numPr>
          <w:ilvl w:val="0"/>
          <w:numId w:val="0"/>
        </w:numPr>
        <w:spacing w:before="156" w:beforeLines="50" w:line="192" w:lineRule="auto"/>
        <w:ind w:leftChars="0"/>
        <w:jc w:val="both"/>
        <w:rPr>
          <w:rStyle w:val="13"/>
          <w:rFonts w:hint="default"/>
          <w:lang w:val="en-US" w:eastAsia="zh-CN"/>
        </w:rPr>
      </w:pPr>
      <w:r>
        <w:rPr>
          <w:rStyle w:val="13"/>
          <w:rFonts w:hint="eastAsia"/>
          <w:lang w:val="en-US" w:eastAsia="zh-CN"/>
        </w:rPr>
        <w:t>[6]</w:t>
      </w:r>
      <w:r>
        <w:rPr>
          <w:rStyle w:val="13"/>
          <w:rFonts w:hint="default"/>
          <w:lang w:val="en-US" w:eastAsia="zh-CN"/>
        </w:rPr>
        <w:t xml:space="preserve">胡杨利，赵晓芹.区间估计中一个问题的探讨［J］.衡阳师范学院学报，2011（6）：146-147. </w:t>
      </w:r>
    </w:p>
    <w:p>
      <w:pPr>
        <w:numPr>
          <w:ilvl w:val="0"/>
          <w:numId w:val="0"/>
        </w:numPr>
        <w:spacing w:before="156" w:beforeLines="50" w:line="192" w:lineRule="auto"/>
        <w:ind w:leftChars="0"/>
        <w:jc w:val="both"/>
        <w:rPr>
          <w:rStyle w:val="13"/>
          <w:rFonts w:hint="default"/>
          <w:lang w:val="en-US" w:eastAsia="zh-CN"/>
        </w:rPr>
      </w:pPr>
      <w:r>
        <w:rPr>
          <w:rStyle w:val="13"/>
          <w:rFonts w:hint="eastAsia"/>
          <w:lang w:val="en-US" w:eastAsia="zh-CN"/>
        </w:rPr>
        <w:t>[7]</w:t>
      </w:r>
      <w:r>
        <w:rPr>
          <w:rStyle w:val="13"/>
          <w:rFonts w:hint="default"/>
          <w:lang w:val="en-US" w:eastAsia="zh-CN"/>
        </w:rPr>
        <w:t xml:space="preserve">吕黎明.关于非正态总体的区间估计［J］.长春师范学院学报，2005（5）：6-8. </w:t>
      </w: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p>
      <w:pPr>
        <w:numPr>
          <w:ilvl w:val="0"/>
          <w:numId w:val="0"/>
        </w:numPr>
        <w:spacing w:before="156" w:beforeLines="50" w:line="192" w:lineRule="auto"/>
        <w:ind w:leftChars="0"/>
        <w:jc w:val="both"/>
        <w:rPr>
          <w:rStyle w:val="13"/>
          <w:rFonts w:hint="default"/>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AD40C"/>
    <w:multiLevelType w:val="multilevel"/>
    <w:tmpl w:val="96CAD40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C6F3DC8"/>
    <w:multiLevelType w:val="singleLevel"/>
    <w:tmpl w:val="0C6F3DC8"/>
    <w:lvl w:ilvl="0" w:tentative="0">
      <w:start w:val="1"/>
      <w:numFmt w:val="chineseCounting"/>
      <w:suff w:val="nothing"/>
      <w:lvlText w:val="第%1，"/>
      <w:lvlJc w:val="left"/>
      <w:rPr>
        <w:rFonts w:hint="eastAsia"/>
      </w:rPr>
    </w:lvl>
  </w:abstractNum>
  <w:abstractNum w:abstractNumId="2">
    <w:nsid w:val="764DB8BF"/>
    <w:multiLevelType w:val="singleLevel"/>
    <w:tmpl w:val="764DB8B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DBkZjgwYTUzNGEwNWZiNDE0MTlkMjk0ZmY2ODUifQ=="/>
  </w:docVars>
  <w:rsids>
    <w:rsidRoot w:val="3EF31B6C"/>
    <w:rsid w:val="0055574E"/>
    <w:rsid w:val="00C30909"/>
    <w:rsid w:val="01A14532"/>
    <w:rsid w:val="02C027DB"/>
    <w:rsid w:val="02EB2288"/>
    <w:rsid w:val="04477AA3"/>
    <w:rsid w:val="04B862AB"/>
    <w:rsid w:val="06977A65"/>
    <w:rsid w:val="07F236FE"/>
    <w:rsid w:val="0B444D3D"/>
    <w:rsid w:val="0D21310F"/>
    <w:rsid w:val="0D8D52E9"/>
    <w:rsid w:val="0DBE2B84"/>
    <w:rsid w:val="10817E99"/>
    <w:rsid w:val="10C66875"/>
    <w:rsid w:val="119E37BF"/>
    <w:rsid w:val="132A1755"/>
    <w:rsid w:val="147D6221"/>
    <w:rsid w:val="15943DAB"/>
    <w:rsid w:val="16EC17FC"/>
    <w:rsid w:val="191B532F"/>
    <w:rsid w:val="1B4B044A"/>
    <w:rsid w:val="20CD265E"/>
    <w:rsid w:val="20DF4CF8"/>
    <w:rsid w:val="234F1032"/>
    <w:rsid w:val="23833D82"/>
    <w:rsid w:val="289C18BC"/>
    <w:rsid w:val="2F3A3BDD"/>
    <w:rsid w:val="33203FEF"/>
    <w:rsid w:val="332E3A59"/>
    <w:rsid w:val="355B33A2"/>
    <w:rsid w:val="35FE3953"/>
    <w:rsid w:val="3636444A"/>
    <w:rsid w:val="364F61C0"/>
    <w:rsid w:val="3B862684"/>
    <w:rsid w:val="3BDB21D2"/>
    <w:rsid w:val="3C21274F"/>
    <w:rsid w:val="3D2D6B2F"/>
    <w:rsid w:val="3EF31B6C"/>
    <w:rsid w:val="3F47212A"/>
    <w:rsid w:val="41373F38"/>
    <w:rsid w:val="46116FEE"/>
    <w:rsid w:val="4637355B"/>
    <w:rsid w:val="473F5DDD"/>
    <w:rsid w:val="49481020"/>
    <w:rsid w:val="4AE271AB"/>
    <w:rsid w:val="4BA31462"/>
    <w:rsid w:val="4DD0076F"/>
    <w:rsid w:val="4EE609F2"/>
    <w:rsid w:val="4F9855AC"/>
    <w:rsid w:val="51593247"/>
    <w:rsid w:val="57A35F14"/>
    <w:rsid w:val="5826332C"/>
    <w:rsid w:val="5ABA0000"/>
    <w:rsid w:val="5EFC5A45"/>
    <w:rsid w:val="63AB4186"/>
    <w:rsid w:val="651D7306"/>
    <w:rsid w:val="678E3EA2"/>
    <w:rsid w:val="6D7255B7"/>
    <w:rsid w:val="6ED30A35"/>
    <w:rsid w:val="70CD6084"/>
    <w:rsid w:val="73504D4A"/>
    <w:rsid w:val="74732AAF"/>
    <w:rsid w:val="76120095"/>
    <w:rsid w:val="76AA4771"/>
    <w:rsid w:val="79BA4CCB"/>
    <w:rsid w:val="7A2933B7"/>
    <w:rsid w:val="7B382883"/>
    <w:rsid w:val="7BCA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ql-lineheight-12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4719</Words>
  <Characters>5053</Characters>
  <Lines>0</Lines>
  <Paragraphs>0</Paragraphs>
  <TotalTime>61</TotalTime>
  <ScaleCrop>false</ScaleCrop>
  <LinksUpToDate>false</LinksUpToDate>
  <CharactersWithSpaces>5197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2022-11-04T13:29:00Z</dcterms:created>
  <dc:creator>涅槃</dc:creator>
  <cp:lastModifiedBy>别灿灿</cp:lastModifiedBy>
  <dcterms:modified xsi:type="dcterms:W3CDTF">2022-12-30T09:30:42Z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62074E5BD2C64D5CAAA3F41FEEB0E6C7</vt:lpwstr>
  </property>
</Properties>
</file>