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高职数学与专业</w:t>
      </w:r>
      <w:r>
        <w:rPr>
          <w:rFonts w:hint="eastAsia" w:ascii="黑体" w:hAnsi="黑体" w:eastAsia="黑体" w:cs="黑体"/>
          <w:sz w:val="32"/>
          <w:szCs w:val="32"/>
          <w:lang w:val="en-US" w:eastAsia="zh-CN"/>
        </w:rPr>
        <w:t>融合</w:t>
      </w:r>
      <w:r>
        <w:rPr>
          <w:rFonts w:hint="eastAsia" w:ascii="黑体" w:hAnsi="黑体" w:eastAsia="黑体" w:cs="黑体"/>
          <w:sz w:val="32"/>
          <w:szCs w:val="32"/>
        </w:rPr>
        <w:t>方案设计与实施</w:t>
      </w:r>
    </w:p>
    <w:p>
      <w:pPr>
        <w:ind w:left="0" w:leftChars="0" w:firstLine="0" w:firstLineChars="0"/>
        <w:jc w:val="center"/>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李安楠</w:t>
      </w:r>
      <w:r>
        <w:rPr>
          <w:rStyle w:val="22"/>
          <w:rFonts w:hint="eastAsia" w:ascii="楷体" w:hAnsi="楷体" w:eastAsia="楷体" w:cs="楷体"/>
          <w:b w:val="0"/>
          <w:bCs/>
          <w:sz w:val="32"/>
          <w:szCs w:val="32"/>
          <w:lang w:val="en-US" w:eastAsia="zh-CN"/>
        </w:rPr>
        <w:footnoteReference w:id="0"/>
      </w:r>
    </w:p>
    <w:p>
      <w:pPr>
        <w:ind w:left="0" w:leftChars="0" w:firstLine="0" w:firstLineChars="0"/>
        <w:jc w:val="center"/>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（北京财贸职业学院基础教育学院（体育部） 北京 101101）</w:t>
      </w:r>
    </w:p>
    <w:p>
      <w:pPr>
        <w:ind w:left="0" w:leftChars="0" w:firstLine="640" w:firstLineChars="200"/>
        <w:jc w:val="left"/>
        <w:rPr>
          <w:rFonts w:hint="eastAsia" w:ascii="楷体" w:hAnsi="楷体" w:eastAsia="楷体" w:cs="楷体"/>
          <w:sz w:val="32"/>
          <w:szCs w:val="32"/>
        </w:rPr>
      </w:pPr>
      <w:r>
        <w:rPr>
          <w:rFonts w:hint="eastAsia" w:ascii="楷体" w:hAnsi="楷体" w:eastAsia="楷体" w:cs="楷体"/>
          <w:sz w:val="32"/>
          <w:szCs w:val="32"/>
          <w:lang w:val="en-US" w:eastAsia="zh-CN"/>
        </w:rPr>
        <w:t>摘要：</w:t>
      </w:r>
      <w:r>
        <w:rPr>
          <w:rFonts w:hint="eastAsia" w:ascii="楷体" w:hAnsi="楷体" w:eastAsia="楷体" w:cs="楷体"/>
          <w:b w:val="0"/>
          <w:bCs w:val="0"/>
          <w:sz w:val="32"/>
          <w:szCs w:val="32"/>
          <w:lang w:val="en-US" w:eastAsia="zh-CN"/>
        </w:rPr>
        <w:t>本研究对高职数学与专业课融合的现状进行了系统梳理，并深入挖掘了其中存在的问题。在此基础上，提出了一套全面而具体的融合方案，涵盖了目标设定、内容整合、教学方法创新、实施步骤明确以及评估机制的完善等关键环节。为了更直观地展示融合方案的实际应用效果，我们以财经专业为例，详细阐述了方案的设计与实施过程。经过一个阶段的实践，该方案在增强学生的学习兴趣、提升他们的专业素养和实践能力方面均展现出了明显的效果，为整体教学质量带来了积极的影响。这一研究成果不仅为当前的高职教育实践者提供了具有操作性的建议和参考，也为后续的研究者打开了新的探索空间和方法论视角，为推动高职数学与专业课之间深度融合的持续发展奠定了坚实的研究基础。</w:t>
      </w:r>
    </w:p>
    <w:p>
      <w:pPr>
        <w:spacing w:line="360" w:lineRule="auto"/>
        <w:ind w:left="0"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关键词：高职数学 专业融合 方案设计</w:t>
      </w:r>
    </w:p>
    <w:p>
      <w:pPr>
        <w:spacing w:line="360" w:lineRule="auto"/>
        <w:ind w:left="0"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中图分类号 G642  文献标识码 A </w:t>
      </w:r>
    </w:p>
    <w:p>
      <w:pPr>
        <w:numPr>
          <w:ilvl w:val="0"/>
          <w:numId w:val="3"/>
        </w:numPr>
        <w:spacing w:line="360" w:lineRule="auto"/>
        <w:ind w:left="64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引言</w:t>
      </w:r>
    </w:p>
    <w:p>
      <w:pPr>
        <w:numPr>
          <w:numId w:val="0"/>
        </w:numPr>
        <w:spacing w:line="360" w:lineRule="auto"/>
        <w:ind w:firstLine="640" w:firstLineChars="200"/>
        <w:rPr>
          <w:rFonts w:hint="eastAsia"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862965</wp:posOffset>
                </wp:positionV>
                <wp:extent cx="1856740" cy="0"/>
                <wp:effectExtent l="0" t="6350" r="0" b="6350"/>
                <wp:wrapNone/>
                <wp:docPr id="1" name="直接连接符 1"/>
                <wp:cNvGraphicFramePr/>
                <a:graphic xmlns:a="http://schemas.openxmlformats.org/drawingml/2006/main">
                  <a:graphicData uri="http://schemas.microsoft.com/office/word/2010/wordprocessingShape">
                    <wps:wsp>
                      <wps:cNvCnPr/>
                      <wps:spPr>
                        <a:xfrm>
                          <a:off x="932815" y="9088120"/>
                          <a:ext cx="18567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95pt;margin-top:67.95pt;height:0pt;width:146.2pt;z-index:251659264;mso-width-relative:page;mso-height-relative:page;" filled="f" stroked="t" coordsize="21600,21600" o:gfxdata="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bNs3wtgAAAAJAQAADwAAAAAAAAABACAAAAA4AAAAZHJz&#10;L2Rvd25yZXYueG1sUEsBAhQAFAAAAAgAh07iQMZVQhnuAQAAvQMAAA4AAAAAAAAAAQAgAAAAPQEA&#10;AGRycy9lMm9Eb2MueG1sUEsFBgAAAAAGAAYAWQEAAJ0FAAAAAA==&#10;">
                <v:fill on="f" focussize="0,0"/>
                <v:stroke weight="1pt" color="#000000 [3213]" miterlimit="8" joinstyle="miter"/>
                <v:imagedata o:title=""/>
                <o:lock v:ext="edit" aspectratio="f"/>
              </v:line>
            </w:pict>
          </mc:Fallback>
        </mc:AlternateContent>
      </w:r>
      <w:r>
        <w:rPr>
          <w:rFonts w:hint="eastAsia" w:ascii="宋体" w:hAnsi="宋体" w:eastAsia="宋体" w:cs="宋体"/>
          <w:sz w:val="32"/>
          <w:szCs w:val="32"/>
        </w:rPr>
        <w:t>随着我国高职教育的快速发展和产业结构的不断升级，高职数学教育面临着多方面的挑战。当前，许多学生对数学学习缺乏足够的兴趣，积极性不高，且实际操作能力较弱。这些问题不仅影响了学生的专业素养，还削弱了他们的就业竞争力</w:t>
      </w:r>
      <w:r>
        <w:rPr>
          <w:rStyle w:val="19"/>
          <w:rFonts w:hint="eastAsia" w:ascii="宋体" w:hAnsi="宋体" w:eastAsia="宋体" w:cs="宋体"/>
          <w:sz w:val="32"/>
          <w:szCs w:val="32"/>
        </w:rPr>
        <w:t>[</w:t>
      </w:r>
      <w:r>
        <w:rPr>
          <w:rStyle w:val="19"/>
          <w:rFonts w:hint="eastAsia" w:ascii="宋体" w:hAnsi="宋体" w:eastAsia="宋体" w:cs="宋体"/>
          <w:sz w:val="32"/>
          <w:szCs w:val="32"/>
        </w:rPr>
        <w:endnoteReference w:id="0"/>
      </w:r>
      <w:r>
        <w:rPr>
          <w:rStyle w:val="19"/>
          <w:rFonts w:hint="eastAsia" w:ascii="宋体" w:hAnsi="宋体" w:eastAsia="宋体" w:cs="宋体"/>
          <w:sz w:val="32"/>
          <w:szCs w:val="32"/>
        </w:rPr>
        <w:t>]</w:t>
      </w:r>
      <w:r>
        <w:rPr>
          <w:rFonts w:hint="eastAsia" w:ascii="宋体" w:hAnsi="宋体" w:eastAsia="宋体" w:cs="宋体"/>
          <w:sz w:val="32"/>
          <w:szCs w:val="32"/>
        </w:rPr>
        <w:t>。为了解决这些问题，一种可能的途径是加强高职数学与专业课之间的融合。通过融合教育，我们可以帮助学生更好地理解数学的实际应用价值，提高他们的学习兴趣和实践能力，从而全面提升他们的专业素养</w:t>
      </w:r>
      <w:r>
        <w:rPr>
          <w:rStyle w:val="19"/>
          <w:rFonts w:hint="eastAsia" w:ascii="宋体" w:hAnsi="宋体" w:eastAsia="宋体" w:cs="宋体"/>
          <w:sz w:val="32"/>
          <w:szCs w:val="32"/>
        </w:rPr>
        <w:t>[</w:t>
      </w:r>
      <w:r>
        <w:rPr>
          <w:rStyle w:val="19"/>
          <w:rFonts w:hint="eastAsia" w:ascii="宋体" w:hAnsi="宋体" w:eastAsia="宋体" w:cs="宋体"/>
          <w:sz w:val="32"/>
          <w:szCs w:val="32"/>
        </w:rPr>
        <w:endnoteReference w:id="1"/>
      </w:r>
      <w:r>
        <w:rPr>
          <w:rStyle w:val="19"/>
          <w:rFonts w:hint="eastAsia" w:ascii="宋体" w:hAnsi="宋体" w:eastAsia="宋体" w:cs="宋体"/>
          <w:sz w:val="32"/>
          <w:szCs w:val="32"/>
        </w:rPr>
        <w:t>]</w:t>
      </w:r>
      <w:r>
        <w:rPr>
          <w:rFonts w:hint="eastAsia" w:ascii="宋体" w:hAnsi="宋体" w:eastAsia="宋体" w:cs="宋体"/>
          <w:sz w:val="32"/>
          <w:szCs w:val="32"/>
        </w:rPr>
        <w:t>。</w:t>
      </w:r>
    </w:p>
    <w:p>
      <w:pPr>
        <w:spacing w:line="360" w:lineRule="auto"/>
        <w:rPr>
          <w:rFonts w:hint="eastAsia" w:ascii="宋体" w:hAnsi="宋体" w:eastAsia="宋体" w:cs="宋体"/>
          <w:sz w:val="32"/>
          <w:szCs w:val="32"/>
        </w:rPr>
      </w:pPr>
      <w:r>
        <w:rPr>
          <w:rFonts w:hint="eastAsia" w:ascii="宋体" w:hAnsi="宋体" w:eastAsia="宋体" w:cs="宋体"/>
          <w:sz w:val="32"/>
          <w:szCs w:val="32"/>
        </w:rPr>
        <w:t>为了推动高职数学与专业课的融合，本文提出了一套具体的融合方案。首先，我们整合了数学与专业的课程资源，确保数学知识与专业需求紧密相关。其次，我们创新了教学方法，引入了任务驱动法和案例教学法等，使数学学习更加贴近实际。此外，我们还加强了实践教学环节，并促进了数学教师与专业课教师之间的交流与合作。为确保融合方案的有效性，我们还完善了评价体系，采用多种方式对学生的学习效果进行全面评估。</w:t>
      </w:r>
    </w:p>
    <w:p>
      <w:pPr>
        <w:spacing w:line="360" w:lineRule="auto"/>
        <w:rPr>
          <w:rFonts w:hint="eastAsia" w:ascii="宋体" w:hAnsi="宋体" w:eastAsia="宋体" w:cs="宋体"/>
          <w:sz w:val="32"/>
          <w:szCs w:val="32"/>
        </w:rPr>
      </w:pPr>
      <w:r>
        <w:rPr>
          <w:rFonts w:hint="eastAsia" w:ascii="宋体" w:hAnsi="宋体" w:eastAsia="宋体" w:cs="宋体"/>
          <w:sz w:val="32"/>
          <w:szCs w:val="32"/>
        </w:rPr>
        <w:t>经过实践验证，我们所提出的融合方案取得了显著的效果。学生的学习兴趣和积极性得到了提高，实践能力和专业素养也得到了提升。同时，融合方案还推动了数学教师与专业课教师之间的交流与合作，有助于提升教师的教学水平。这一研究结果为我国高职数学教育的改革提供了有益的参考，也为推动数学教育与其他学科的融合、促进高职教育的发展奠定了坚实的基础。</w:t>
      </w:r>
    </w:p>
    <w:p>
      <w:pPr>
        <w:spacing w:line="360" w:lineRule="auto"/>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高职数学与专业课融合的现状和问题</w:t>
      </w:r>
    </w:p>
    <w:p>
      <w:pPr>
        <w:spacing w:line="360" w:lineRule="auto"/>
        <w:rPr>
          <w:rFonts w:hint="eastAsia" w:ascii="宋体" w:hAnsi="宋体" w:eastAsia="宋体" w:cs="宋体"/>
          <w:sz w:val="32"/>
          <w:szCs w:val="32"/>
        </w:rPr>
      </w:pPr>
      <w:r>
        <w:rPr>
          <w:rFonts w:hint="eastAsia" w:ascii="宋体" w:hAnsi="宋体" w:eastAsia="宋体" w:cs="宋体"/>
          <w:sz w:val="32"/>
          <w:szCs w:val="32"/>
        </w:rPr>
        <w:t>（一）高职数学与专业课融合的现状</w:t>
      </w:r>
    </w:p>
    <w:p>
      <w:pPr>
        <w:spacing w:line="360" w:lineRule="auto"/>
        <w:rPr>
          <w:rFonts w:hint="eastAsia" w:ascii="宋体" w:hAnsi="宋体" w:eastAsia="宋体" w:cs="宋体"/>
          <w:sz w:val="32"/>
          <w:szCs w:val="32"/>
        </w:rPr>
      </w:pPr>
      <w:r>
        <w:rPr>
          <w:rFonts w:hint="eastAsia" w:ascii="宋体" w:hAnsi="宋体" w:eastAsia="宋体" w:cs="宋体"/>
          <w:sz w:val="32"/>
          <w:szCs w:val="32"/>
        </w:rPr>
        <w:t>高职数学与专业课融合方案的研究与实践在近年来得到了广泛关注。随着我国高职教育的快速发展，这一融合实践也取得了一定的成果。不少高职院校已经认识到数学与专业课融合的重要性，开始积极推进相关措施。这是一个重要的开端，显示出教育界对于提高教育质量和培养学生综合能力的坚定决心</w:t>
      </w:r>
      <w:r>
        <w:rPr>
          <w:rStyle w:val="19"/>
          <w:rFonts w:hint="eastAsia" w:ascii="宋体" w:hAnsi="宋体" w:eastAsia="宋体" w:cs="宋体"/>
          <w:sz w:val="32"/>
          <w:szCs w:val="32"/>
        </w:rPr>
        <w:t>[</w:t>
      </w:r>
      <w:r>
        <w:rPr>
          <w:rStyle w:val="19"/>
          <w:rFonts w:hint="eastAsia" w:ascii="宋体" w:hAnsi="宋体" w:eastAsia="宋体" w:cs="宋体"/>
          <w:sz w:val="32"/>
          <w:szCs w:val="32"/>
        </w:rPr>
        <w:endnoteReference w:id="2"/>
      </w:r>
      <w:r>
        <w:rPr>
          <w:rStyle w:val="19"/>
          <w:rFonts w:hint="eastAsia" w:ascii="宋体" w:hAnsi="宋体" w:eastAsia="宋体" w:cs="宋体"/>
          <w:sz w:val="32"/>
          <w:szCs w:val="32"/>
        </w:rPr>
        <w:t>]</w:t>
      </w:r>
      <w:r>
        <w:rPr>
          <w:rFonts w:hint="eastAsia" w:ascii="宋体" w:hAnsi="宋体" w:eastAsia="宋体" w:cs="宋体"/>
          <w:sz w:val="32"/>
          <w:szCs w:val="32"/>
        </w:rPr>
        <w:t>。</w:t>
      </w:r>
    </w:p>
    <w:p>
      <w:pPr>
        <w:spacing w:line="360" w:lineRule="auto"/>
        <w:rPr>
          <w:rFonts w:hint="eastAsia" w:ascii="宋体" w:hAnsi="宋体" w:eastAsia="宋体" w:cs="宋体"/>
          <w:sz w:val="32"/>
          <w:szCs w:val="32"/>
        </w:rPr>
      </w:pPr>
      <w:r>
        <w:rPr>
          <w:rFonts w:hint="eastAsia" w:ascii="宋体" w:hAnsi="宋体" w:eastAsia="宋体" w:cs="宋体"/>
          <w:sz w:val="32"/>
          <w:szCs w:val="32"/>
        </w:rPr>
        <w:t>在具体实践方面，一些高职院校也取得了令人鼓舞的成果。以计算机专业为例，他们成功地将数学课程与算法、数据结构等课程紧密结合，这不仅增强了学生对专业知识的理解，还有效地培养了他们的计算机科学素养。同样，在市场营销专业中，数学课程与统计学、概率论等课程的有机融合，帮助学生更好地运用数学知识分析市场现象，提升了他们的数据分析和决策能力。这些成功案例为高职数学与专业课融合提供了有益的参考，也激发了更多院校积极探索适合自身特点的融合方案</w:t>
      </w:r>
      <w:r>
        <w:rPr>
          <w:rStyle w:val="19"/>
          <w:rFonts w:hint="eastAsia" w:ascii="宋体" w:hAnsi="宋体" w:eastAsia="宋体" w:cs="宋体"/>
          <w:sz w:val="32"/>
          <w:szCs w:val="32"/>
        </w:rPr>
        <w:t>[</w:t>
      </w:r>
      <w:r>
        <w:rPr>
          <w:rStyle w:val="19"/>
          <w:rFonts w:hint="eastAsia" w:ascii="宋体" w:hAnsi="宋体" w:eastAsia="宋体" w:cs="宋体"/>
          <w:sz w:val="32"/>
          <w:szCs w:val="32"/>
        </w:rPr>
        <w:endnoteReference w:id="3"/>
      </w:r>
      <w:r>
        <w:rPr>
          <w:rStyle w:val="19"/>
          <w:rFonts w:hint="eastAsia" w:ascii="宋体" w:hAnsi="宋体" w:eastAsia="宋体" w:cs="宋体"/>
          <w:sz w:val="32"/>
          <w:szCs w:val="32"/>
        </w:rPr>
        <w:t>]</w:t>
      </w:r>
      <w:r>
        <w:rPr>
          <w:rFonts w:hint="eastAsia" w:ascii="宋体" w:hAnsi="宋体" w:eastAsia="宋体" w:cs="宋体"/>
          <w:sz w:val="32"/>
          <w:szCs w:val="32"/>
        </w:rPr>
        <w:t>。</w:t>
      </w:r>
    </w:p>
    <w:p>
      <w:pPr>
        <w:spacing w:line="360" w:lineRule="auto"/>
        <w:rPr>
          <w:rFonts w:hint="eastAsia" w:ascii="宋体" w:hAnsi="宋体" w:eastAsia="宋体" w:cs="宋体"/>
          <w:sz w:val="32"/>
          <w:szCs w:val="32"/>
        </w:rPr>
      </w:pPr>
      <w:r>
        <w:rPr>
          <w:rFonts w:hint="eastAsia" w:ascii="宋体" w:hAnsi="宋体" w:eastAsia="宋体" w:cs="宋体"/>
          <w:sz w:val="32"/>
          <w:szCs w:val="32"/>
        </w:rPr>
        <w:t>（二）高职数学与专业课融合存在的问题</w:t>
      </w:r>
    </w:p>
    <w:p>
      <w:pPr>
        <w:spacing w:line="360" w:lineRule="auto"/>
        <w:rPr>
          <w:rFonts w:hint="eastAsia" w:ascii="宋体" w:hAnsi="宋体" w:eastAsia="宋体" w:cs="宋体"/>
          <w:sz w:val="32"/>
          <w:szCs w:val="32"/>
        </w:rPr>
      </w:pPr>
      <w:r>
        <w:rPr>
          <w:rFonts w:hint="eastAsia" w:ascii="宋体" w:hAnsi="宋体" w:eastAsia="宋体" w:cs="宋体"/>
          <w:sz w:val="32"/>
          <w:szCs w:val="32"/>
        </w:rPr>
        <w:t>尽管高职数学与专业课融合已经取得一定的成果，但仍存在一系列问题亟待解决。</w:t>
      </w:r>
    </w:p>
    <w:p>
      <w:pPr>
        <w:spacing w:line="360" w:lineRule="auto"/>
        <w:rPr>
          <w:rFonts w:hint="eastAsia" w:ascii="宋体" w:hAnsi="宋体" w:eastAsia="宋体" w:cs="宋体"/>
          <w:sz w:val="32"/>
          <w:szCs w:val="32"/>
        </w:rPr>
      </w:pPr>
      <w:r>
        <w:rPr>
          <w:rFonts w:hint="eastAsia" w:ascii="宋体" w:hAnsi="宋体" w:eastAsia="宋体" w:cs="宋体"/>
          <w:sz w:val="32"/>
          <w:szCs w:val="32"/>
        </w:rPr>
        <w:t>首要问题在于融合程度不够深入。尽管融合被视为教育改革的重点，但在实际教学中，往往只是表面上的结合，缺乏深度的整合。这背后的主要原因是教师对于专业课的理解不够深入，使得他们在教学过程中难以将数学知识与专业知识真正结合，导致教学内容与方法与专业课的实际需求脱节。同时，当前的高职教育环境在资源和支持上也相对有限，这进一步制约了高职数学与专业课融合的深入进行</w:t>
      </w:r>
      <w:r>
        <w:rPr>
          <w:rStyle w:val="19"/>
          <w:rFonts w:hint="eastAsia" w:ascii="宋体" w:hAnsi="宋体" w:eastAsia="宋体" w:cs="宋体"/>
          <w:sz w:val="32"/>
          <w:szCs w:val="32"/>
        </w:rPr>
        <w:t>[</w:t>
      </w:r>
      <w:r>
        <w:rPr>
          <w:rStyle w:val="19"/>
          <w:rFonts w:hint="eastAsia" w:ascii="宋体" w:hAnsi="宋体" w:eastAsia="宋体" w:cs="宋体"/>
          <w:sz w:val="32"/>
          <w:szCs w:val="32"/>
        </w:rPr>
        <w:endnoteReference w:id="4"/>
      </w:r>
      <w:r>
        <w:rPr>
          <w:rStyle w:val="19"/>
          <w:rFonts w:hint="eastAsia" w:ascii="宋体" w:hAnsi="宋体" w:eastAsia="宋体" w:cs="宋体"/>
          <w:sz w:val="32"/>
          <w:szCs w:val="32"/>
        </w:rPr>
        <w:t>]</w:t>
      </w:r>
      <w:r>
        <w:rPr>
          <w:rFonts w:hint="eastAsia" w:ascii="宋体" w:hAnsi="宋体" w:eastAsia="宋体" w:cs="宋体"/>
          <w:sz w:val="32"/>
          <w:szCs w:val="32"/>
        </w:rPr>
        <w:t>。</w:t>
      </w:r>
    </w:p>
    <w:p>
      <w:pPr>
        <w:spacing w:line="360" w:lineRule="auto"/>
        <w:rPr>
          <w:rFonts w:hint="eastAsia" w:ascii="宋体" w:hAnsi="宋体" w:eastAsia="宋体" w:cs="宋体"/>
          <w:sz w:val="32"/>
          <w:szCs w:val="32"/>
        </w:rPr>
      </w:pPr>
      <w:r>
        <w:rPr>
          <w:rFonts w:hint="eastAsia" w:ascii="宋体" w:hAnsi="宋体" w:eastAsia="宋体" w:cs="宋体"/>
          <w:sz w:val="32"/>
          <w:szCs w:val="32"/>
        </w:rPr>
        <w:t>其次，我们注意到教师和学生的参与度普遍不高。这表现为他们对融合的态度较为消极，缺乏参与的热情和动力</w:t>
      </w:r>
      <w:r>
        <w:rPr>
          <w:rStyle w:val="19"/>
          <w:rFonts w:hint="eastAsia" w:ascii="宋体" w:hAnsi="宋体" w:eastAsia="宋体" w:cs="宋体"/>
          <w:sz w:val="32"/>
          <w:szCs w:val="32"/>
        </w:rPr>
        <w:t>[</w:t>
      </w:r>
      <w:r>
        <w:rPr>
          <w:rStyle w:val="19"/>
          <w:rFonts w:hint="eastAsia" w:ascii="宋体" w:hAnsi="宋体" w:eastAsia="宋体" w:cs="宋体"/>
          <w:sz w:val="32"/>
          <w:szCs w:val="32"/>
        </w:rPr>
        <w:endnoteReference w:id="5"/>
      </w:r>
      <w:r>
        <w:rPr>
          <w:rStyle w:val="19"/>
          <w:rFonts w:hint="eastAsia" w:ascii="宋体" w:hAnsi="宋体" w:eastAsia="宋体" w:cs="宋体"/>
          <w:sz w:val="32"/>
          <w:szCs w:val="32"/>
        </w:rPr>
        <w:t>]</w:t>
      </w:r>
      <w:r>
        <w:rPr>
          <w:rFonts w:hint="eastAsia" w:ascii="宋体" w:hAnsi="宋体" w:eastAsia="宋体" w:cs="宋体"/>
          <w:sz w:val="32"/>
          <w:szCs w:val="32"/>
        </w:rPr>
        <w:t>。参与度低直接影响了融合教学的效果，使得这一教育模式难以达到预期的目标。这种态度背后的原因主要是对融合的重要性认识不足，没有意识到它在培养学生综合能力和提高教育质量中的关键作用。</w:t>
      </w:r>
    </w:p>
    <w:p>
      <w:pPr>
        <w:spacing w:line="360" w:lineRule="auto"/>
        <w:rPr>
          <w:rFonts w:hint="eastAsia" w:ascii="宋体" w:hAnsi="宋体" w:eastAsia="宋体" w:cs="宋体"/>
          <w:sz w:val="32"/>
          <w:szCs w:val="32"/>
        </w:rPr>
      </w:pPr>
      <w:r>
        <w:rPr>
          <w:rFonts w:hint="eastAsia" w:ascii="宋体" w:hAnsi="宋体" w:eastAsia="宋体" w:cs="宋体"/>
          <w:sz w:val="32"/>
          <w:szCs w:val="32"/>
        </w:rPr>
        <w:t>最后，评估机制的不完善也是一个明显的问题。在教学过程中，评估是一个至关重要的环节，它不仅可以检验教学的效果，还可以为进一步的教学改进提供方向。然而，在现有的高职教育中，对于融合教学的评估机制往往设计得不够科学，实施时缺乏公正性和客观性，这使得教学效果难以得到准确评价，也阻碍了融合教学的持续改进和优化</w:t>
      </w:r>
      <w:r>
        <w:rPr>
          <w:rStyle w:val="19"/>
          <w:rFonts w:hint="eastAsia" w:ascii="宋体" w:hAnsi="宋体" w:eastAsia="宋体" w:cs="宋体"/>
          <w:sz w:val="32"/>
          <w:szCs w:val="32"/>
        </w:rPr>
        <w:t>[</w:t>
      </w:r>
      <w:r>
        <w:rPr>
          <w:rStyle w:val="19"/>
          <w:rFonts w:hint="eastAsia" w:ascii="宋体" w:hAnsi="宋体" w:eastAsia="宋体" w:cs="宋体"/>
          <w:sz w:val="32"/>
          <w:szCs w:val="32"/>
        </w:rPr>
        <w:endnoteReference w:id="6"/>
      </w:r>
      <w:r>
        <w:rPr>
          <w:rStyle w:val="19"/>
          <w:rFonts w:hint="eastAsia" w:ascii="宋体" w:hAnsi="宋体" w:eastAsia="宋体" w:cs="宋体"/>
          <w:sz w:val="32"/>
          <w:szCs w:val="32"/>
        </w:rPr>
        <w:t>]</w:t>
      </w:r>
      <w:r>
        <w:rPr>
          <w:rFonts w:hint="eastAsia" w:ascii="宋体" w:hAnsi="宋体" w:eastAsia="宋体" w:cs="宋体"/>
          <w:sz w:val="32"/>
          <w:szCs w:val="32"/>
        </w:rPr>
        <w:t>。</w:t>
      </w:r>
    </w:p>
    <w:p>
      <w:pPr>
        <w:spacing w:line="360" w:lineRule="auto"/>
        <w:rPr>
          <w:rFonts w:hint="eastAsia" w:ascii="宋体" w:hAnsi="宋体" w:eastAsia="宋体" w:cs="宋体"/>
          <w:sz w:val="32"/>
          <w:szCs w:val="32"/>
        </w:rPr>
      </w:pPr>
      <w:r>
        <w:rPr>
          <w:rFonts w:hint="eastAsia" w:ascii="宋体" w:hAnsi="宋体" w:eastAsia="宋体" w:cs="宋体"/>
          <w:sz w:val="32"/>
          <w:szCs w:val="32"/>
        </w:rPr>
        <w:t>为了解决上述问题，我们需要教师、学生和管理部门三方共同努力</w:t>
      </w:r>
      <w:r>
        <w:rPr>
          <w:rStyle w:val="19"/>
          <w:rFonts w:hint="eastAsia" w:ascii="宋体" w:hAnsi="宋体" w:eastAsia="宋体" w:cs="宋体"/>
          <w:sz w:val="32"/>
          <w:szCs w:val="32"/>
        </w:rPr>
        <w:t>[</w:t>
      </w:r>
      <w:r>
        <w:rPr>
          <w:rStyle w:val="19"/>
          <w:rFonts w:hint="eastAsia" w:ascii="宋体" w:hAnsi="宋体" w:eastAsia="宋体" w:cs="宋体"/>
          <w:sz w:val="32"/>
          <w:szCs w:val="32"/>
        </w:rPr>
        <w:endnoteReference w:id="7"/>
      </w:r>
      <w:r>
        <w:rPr>
          <w:rStyle w:val="19"/>
          <w:rFonts w:hint="eastAsia" w:ascii="宋体" w:hAnsi="宋体" w:eastAsia="宋体" w:cs="宋体"/>
          <w:sz w:val="32"/>
          <w:szCs w:val="32"/>
        </w:rPr>
        <w:t>]</w:t>
      </w:r>
      <w:r>
        <w:rPr>
          <w:rFonts w:hint="eastAsia" w:ascii="宋体" w:hAnsi="宋体" w:eastAsia="宋体" w:cs="宋体"/>
          <w:sz w:val="32"/>
          <w:szCs w:val="32"/>
        </w:rPr>
        <w:t>。教师应该深化对专业课的理解，改进教学方法，加强与专业教师的交流和合作；学生应该认识到融合学习的重要性，提高学习的主动性和参与度；管理部门则需要加强教学资源的整合，提供更多的支持和保障，同时完善评估机制，确保其科学、公正和客观</w:t>
      </w:r>
      <w:r>
        <w:rPr>
          <w:rStyle w:val="19"/>
          <w:rFonts w:hint="eastAsia" w:ascii="宋体" w:hAnsi="宋体" w:eastAsia="宋体" w:cs="宋体"/>
          <w:sz w:val="32"/>
          <w:szCs w:val="32"/>
        </w:rPr>
        <w:t>[</w:t>
      </w:r>
      <w:r>
        <w:rPr>
          <w:rStyle w:val="19"/>
          <w:rFonts w:hint="eastAsia" w:ascii="宋体" w:hAnsi="宋体" w:eastAsia="宋体" w:cs="宋体"/>
          <w:sz w:val="32"/>
          <w:szCs w:val="32"/>
        </w:rPr>
        <w:endnoteReference w:id="8"/>
      </w:r>
      <w:r>
        <w:rPr>
          <w:rStyle w:val="19"/>
          <w:rFonts w:hint="eastAsia" w:ascii="宋体" w:hAnsi="宋体" w:eastAsia="宋体" w:cs="宋体"/>
          <w:sz w:val="32"/>
          <w:szCs w:val="32"/>
        </w:rPr>
        <w:t>]</w:t>
      </w:r>
      <w:r>
        <w:rPr>
          <w:rFonts w:hint="eastAsia" w:ascii="宋体" w:hAnsi="宋体" w:eastAsia="宋体" w:cs="宋体"/>
          <w:sz w:val="32"/>
          <w:szCs w:val="32"/>
        </w:rPr>
        <w:t>。只有这样，我们才能推动高职数学与专业课的有效融合，真正提高教育的质量和效果。</w:t>
      </w:r>
    </w:p>
    <w:p>
      <w:pPr>
        <w:numPr>
          <w:numId w:val="0"/>
        </w:num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高职数学与专业课融合方案的设计</w:t>
      </w:r>
    </w:p>
    <w:p>
      <w:pPr>
        <w:spacing w:line="360" w:lineRule="auto"/>
        <w:rPr>
          <w:rFonts w:hint="eastAsia" w:ascii="宋体" w:hAnsi="宋体" w:eastAsia="宋体" w:cs="宋体"/>
          <w:sz w:val="32"/>
          <w:szCs w:val="32"/>
        </w:rPr>
      </w:pPr>
      <w:r>
        <w:rPr>
          <w:rFonts w:hint="eastAsia" w:ascii="宋体" w:hAnsi="宋体" w:eastAsia="宋体" w:cs="宋体"/>
          <w:sz w:val="32"/>
          <w:szCs w:val="32"/>
        </w:rPr>
        <w:t>（一）融合方案的总体设计</w:t>
      </w:r>
    </w:p>
    <w:p>
      <w:pPr>
        <w:spacing w:line="360" w:lineRule="auto"/>
        <w:rPr>
          <w:rFonts w:hint="eastAsia" w:ascii="宋体" w:hAnsi="宋体" w:eastAsia="宋体" w:cs="宋体"/>
          <w:sz w:val="32"/>
          <w:szCs w:val="32"/>
        </w:rPr>
      </w:pPr>
      <w:r>
        <w:rPr>
          <w:rFonts w:hint="eastAsia" w:ascii="宋体" w:hAnsi="宋体" w:eastAsia="宋体" w:cs="宋体"/>
          <w:sz w:val="32"/>
          <w:szCs w:val="32"/>
        </w:rPr>
        <w:t>融合方案的总体设计是高职数学与专业课融合过程中的重要环节,其目的是明确融合的目标、内容、方法和步骤,以便有效地实现融合。总体设计应从整体上考虑融合方案,确保融合方案的可行性和有效性。</w:t>
      </w:r>
    </w:p>
    <w:p>
      <w:pPr>
        <w:spacing w:line="360" w:lineRule="auto"/>
        <w:rPr>
          <w:rFonts w:hint="eastAsia" w:ascii="宋体" w:hAnsi="宋体" w:eastAsia="宋体" w:cs="宋体"/>
          <w:sz w:val="32"/>
          <w:szCs w:val="32"/>
        </w:rPr>
      </w:pPr>
      <w:r>
        <w:rPr>
          <w:rFonts w:hint="eastAsia" w:ascii="宋体" w:hAnsi="宋体" w:eastAsia="宋体" w:cs="宋体"/>
          <w:sz w:val="32"/>
          <w:szCs w:val="32"/>
        </w:rPr>
        <w:t>首先,需要明确融合的目标。融合的目标应该明确具体,具有可操作性和可衡量性。例如,融合的目标可以是提高学生的数学素养,增强学生的专业素养,提高学生的创新能力和实践能力等。明确目标后,需要制定相应的实现计划和时间表,确保目标的可实现性。</w:t>
      </w:r>
    </w:p>
    <w:p>
      <w:pPr>
        <w:spacing w:line="360" w:lineRule="auto"/>
        <w:rPr>
          <w:rFonts w:hint="eastAsia" w:ascii="宋体" w:hAnsi="宋体" w:eastAsia="宋体" w:cs="宋体"/>
          <w:sz w:val="32"/>
          <w:szCs w:val="32"/>
        </w:rPr>
      </w:pPr>
      <w:r>
        <w:rPr>
          <w:rFonts w:hint="eastAsia" w:ascii="宋体" w:hAnsi="宋体" w:eastAsia="宋体" w:cs="宋体"/>
          <w:sz w:val="32"/>
          <w:szCs w:val="32"/>
        </w:rPr>
        <w:t>其次,需要明确融合的内容。融合的内容应该与专业课程相关,能够有效地支持专业课程的教学。例如,融合的内容可以是数学建模、数学实验、数学应用等,这些内容应该能够与专业课程相结合,提高学生的专业素养和实际应用能力。同时,融合的内容应该符合学生的认知水平和兴趣,以便更好地激发学生的学习兴趣和动力。</w:t>
      </w:r>
    </w:p>
    <w:p>
      <w:pPr>
        <w:spacing w:line="360" w:lineRule="auto"/>
        <w:rPr>
          <w:rFonts w:hint="eastAsia" w:ascii="宋体" w:hAnsi="宋体" w:eastAsia="宋体" w:cs="宋体"/>
          <w:sz w:val="32"/>
          <w:szCs w:val="32"/>
        </w:rPr>
      </w:pPr>
      <w:r>
        <w:rPr>
          <w:rFonts w:hint="eastAsia" w:ascii="宋体" w:hAnsi="宋体" w:eastAsia="宋体" w:cs="宋体"/>
          <w:sz w:val="32"/>
          <w:szCs w:val="32"/>
        </w:rPr>
        <w:t>接着,需要明确融合的方法。融合的方法应该科学合理,具有可行性和有效性。例如,融合的方法可以是案例教学、项目驱动、小组合作等,这些方法应该能够有效地促进学生的主动学习和积极参与。同时,融合的方法应该符合学生的认知方式和特点,以便更好地促进学生的学习和发展。</w:t>
      </w:r>
    </w:p>
    <w:p>
      <w:pPr>
        <w:spacing w:line="360" w:lineRule="auto"/>
        <w:rPr>
          <w:rFonts w:hint="eastAsia" w:ascii="宋体" w:hAnsi="宋体" w:eastAsia="宋体" w:cs="宋体"/>
          <w:sz w:val="32"/>
          <w:szCs w:val="32"/>
        </w:rPr>
      </w:pPr>
      <w:r>
        <w:rPr>
          <w:rFonts w:hint="eastAsia" w:ascii="宋体" w:hAnsi="宋体" w:eastAsia="宋体" w:cs="宋体"/>
          <w:sz w:val="32"/>
          <w:szCs w:val="32"/>
        </w:rPr>
        <w:t>最后,需要明确融合的步骤。融合的步骤应该清晰有序,具有可操作性和可衡量性。例如,融合的步骤可以是教学计划制定、教学内容整合、教学方法选择、教学评价设计等,这些步骤应该能够有序地推进融合工作的开展。同时,融合的步骤应该符合学生的认知水平和特点,以便更好地推进学生的学习和发展。</w:t>
      </w:r>
    </w:p>
    <w:p>
      <w:pPr>
        <w:spacing w:line="360" w:lineRule="auto"/>
        <w:rPr>
          <w:rFonts w:hint="eastAsia" w:ascii="宋体" w:hAnsi="宋体" w:eastAsia="宋体" w:cs="宋体"/>
          <w:sz w:val="32"/>
          <w:szCs w:val="32"/>
        </w:rPr>
      </w:pPr>
      <w:r>
        <w:rPr>
          <w:rFonts w:hint="eastAsia" w:ascii="宋体" w:hAnsi="宋体" w:eastAsia="宋体" w:cs="宋体"/>
          <w:sz w:val="32"/>
          <w:szCs w:val="32"/>
        </w:rPr>
        <w:t>融合方案的总体设计是高职数学与专业课融合过程中的重要环节,其目的是明确融合的目标、内容、方法和步骤,以便有效地实现融合。在总体设计过程中,需要从整体上考虑融合方案,确保融合方案的可行性和有效性。</w:t>
      </w:r>
    </w:p>
    <w:p>
      <w:pPr>
        <w:keepNext w:val="0"/>
        <w:keepLines w:val="0"/>
        <w:widowControl/>
        <w:suppressLineNumbers w:val="0"/>
        <w:spacing w:line="360" w:lineRule="auto"/>
        <w:jc w:val="left"/>
        <w:rPr>
          <w:rFonts w:hint="eastAsia" w:ascii="宋体" w:hAnsi="宋体" w:eastAsia="宋体" w:cs="宋体"/>
          <w:sz w:val="32"/>
          <w:szCs w:val="32"/>
        </w:rPr>
      </w:pPr>
      <w:r>
        <w:rPr>
          <w:rFonts w:hint="eastAsia" w:ascii="宋体" w:hAnsi="宋体" w:eastAsia="宋体" w:cs="宋体"/>
          <w:sz w:val="32"/>
          <w:szCs w:val="32"/>
        </w:rPr>
        <w:t>（二）融合方案的具体实施</w:t>
      </w:r>
    </w:p>
    <w:p>
      <w:pPr>
        <w:keepNext w:val="0"/>
        <w:keepLines w:val="0"/>
        <w:widowControl/>
        <w:suppressLineNumbers w:val="0"/>
        <w:spacing w:line="360" w:lineRule="auto"/>
        <w:jc w:val="left"/>
        <w:rPr>
          <w:rFonts w:hint="eastAsia" w:ascii="宋体" w:hAnsi="宋体" w:eastAsia="宋体" w:cs="宋体"/>
          <w:sz w:val="32"/>
          <w:szCs w:val="32"/>
        </w:rPr>
      </w:pPr>
      <w:r>
        <w:rPr>
          <w:rFonts w:hint="eastAsia" w:ascii="宋体" w:hAnsi="宋体" w:eastAsia="宋体" w:cs="宋体"/>
          <w:sz w:val="32"/>
          <w:szCs w:val="32"/>
        </w:rPr>
        <w:t>高职数学与专业课融合方案的实施是一项系统工程，涉及多个方面的配合与协调。具体实施过程应遵循以下五个步骤，以确保融合教学的顺利进行。</w:t>
      </w:r>
    </w:p>
    <w:p>
      <w:pPr>
        <w:keepNext w:val="0"/>
        <w:keepLines w:val="0"/>
        <w:widowControl/>
        <w:numPr>
          <w:ilvl w:val="0"/>
          <w:numId w:val="4"/>
        </w:numPr>
        <w:suppressLineNumbers w:val="0"/>
        <w:spacing w:line="360" w:lineRule="auto"/>
        <w:jc w:val="left"/>
        <w:rPr>
          <w:rFonts w:hint="eastAsia" w:ascii="宋体" w:hAnsi="宋体" w:eastAsia="宋体" w:cs="宋体"/>
          <w:sz w:val="32"/>
          <w:szCs w:val="32"/>
        </w:rPr>
      </w:pPr>
      <w:r>
        <w:rPr>
          <w:rFonts w:hint="eastAsia" w:ascii="宋体" w:hAnsi="宋体" w:eastAsia="宋体" w:cs="宋体"/>
          <w:sz w:val="32"/>
          <w:szCs w:val="32"/>
        </w:rPr>
        <w:t>教师角色定位</w:t>
      </w:r>
    </w:p>
    <w:p>
      <w:pPr>
        <w:keepNext w:val="0"/>
        <w:keepLines w:val="0"/>
        <w:widowControl/>
        <w:suppressLineNumbers w:val="0"/>
        <w:spacing w:line="360" w:lineRule="auto"/>
        <w:jc w:val="left"/>
        <w:rPr>
          <w:rFonts w:hint="eastAsia" w:ascii="宋体" w:hAnsi="宋体" w:eastAsia="宋体" w:cs="宋体"/>
          <w:sz w:val="32"/>
          <w:szCs w:val="32"/>
        </w:rPr>
      </w:pPr>
      <w:r>
        <w:rPr>
          <w:rFonts w:hint="eastAsia" w:ascii="宋体" w:hAnsi="宋体" w:eastAsia="宋体" w:cs="宋体"/>
          <w:sz w:val="32"/>
          <w:szCs w:val="32"/>
        </w:rPr>
        <w:t>在融合教学中，教师的角色发生了显著变化。他们不仅是知识的传授者，更是教学的引导者和组织者。为了确保融合教学的成功实施，教师需要深入了解专业课程的内容，将数学知识与专业课程相结合，设计出符合学生需求的教学内容。为了实现这一目标，教师应定期参加专业培训，不断更新自己的知识和技能，以便更好地理解和教授专业知识。与专业教师紧密合作，共同研讨如何将数学知识与专业课程有机结合，制定具体的教学计划和方案。在教学过程中引导学生进行思考和探索，激发学生的学习兴趣和积极性，培养学生的自主学习能力。</w:t>
      </w:r>
    </w:p>
    <w:p>
      <w:pPr>
        <w:keepNext w:val="0"/>
        <w:keepLines w:val="0"/>
        <w:widowControl/>
        <w:numPr>
          <w:ilvl w:val="0"/>
          <w:numId w:val="4"/>
        </w:numPr>
        <w:suppressLineNumbers w:val="0"/>
        <w:spacing w:line="360" w:lineRule="auto"/>
        <w:ind w:left="0" w:leftChars="0" w:firstLine="520" w:firstLineChars="0"/>
        <w:jc w:val="left"/>
        <w:rPr>
          <w:rFonts w:hint="eastAsia" w:ascii="宋体" w:hAnsi="宋体" w:eastAsia="宋体" w:cs="宋体"/>
          <w:sz w:val="32"/>
          <w:szCs w:val="32"/>
        </w:rPr>
      </w:pPr>
      <w:r>
        <w:rPr>
          <w:rFonts w:hint="eastAsia" w:ascii="宋体" w:hAnsi="宋体" w:eastAsia="宋体" w:cs="宋体"/>
          <w:sz w:val="32"/>
          <w:szCs w:val="32"/>
        </w:rPr>
        <w:t>学生参与</w:t>
      </w:r>
    </w:p>
    <w:p>
      <w:pPr>
        <w:keepNext w:val="0"/>
        <w:keepLines w:val="0"/>
        <w:widowControl/>
        <w:suppressLineNumbers w:val="0"/>
        <w:spacing w:line="360" w:lineRule="auto"/>
        <w:jc w:val="left"/>
        <w:rPr>
          <w:rFonts w:hint="eastAsia" w:ascii="宋体" w:hAnsi="宋体" w:eastAsia="宋体" w:cs="宋体"/>
          <w:sz w:val="32"/>
          <w:szCs w:val="32"/>
        </w:rPr>
      </w:pPr>
      <w:r>
        <w:rPr>
          <w:rFonts w:hint="eastAsia" w:ascii="宋体" w:hAnsi="宋体" w:eastAsia="宋体" w:cs="宋体"/>
          <w:sz w:val="32"/>
          <w:szCs w:val="32"/>
        </w:rPr>
        <w:t>学生是融合教学的主体，他们的积极参与对于教学的成功至关重要。为了确保学生能够主动参与到教学过程中，教师需要采取以下措施：</w:t>
      </w:r>
    </w:p>
    <w:p>
      <w:pPr>
        <w:keepNext w:val="0"/>
        <w:keepLines w:val="0"/>
        <w:widowControl/>
        <w:suppressLineNumbers w:val="0"/>
        <w:spacing w:line="360" w:lineRule="auto"/>
        <w:ind w:left="0" w:leftChars="0" w:firstLine="640" w:firstLineChars="200"/>
        <w:jc w:val="left"/>
        <w:rPr>
          <w:rFonts w:hint="eastAsia" w:ascii="宋体" w:hAnsi="宋体" w:eastAsia="宋体" w:cs="宋体"/>
          <w:sz w:val="32"/>
          <w:szCs w:val="32"/>
        </w:rPr>
      </w:pPr>
      <w:r>
        <w:rPr>
          <w:rFonts w:hint="eastAsia" w:ascii="宋体" w:hAnsi="宋体" w:eastAsia="宋体" w:cs="宋体"/>
          <w:sz w:val="32"/>
          <w:szCs w:val="32"/>
        </w:rPr>
        <w:t>激发学生的学习兴趣和动力，使他们认识到数学在专业课程中的重要性。</w:t>
      </w:r>
    </w:p>
    <w:p>
      <w:pPr>
        <w:keepNext w:val="0"/>
        <w:keepLines w:val="0"/>
        <w:widowControl/>
        <w:suppressLineNumbers w:val="0"/>
        <w:spacing w:line="360" w:lineRule="auto"/>
        <w:jc w:val="left"/>
        <w:rPr>
          <w:rFonts w:hint="eastAsia" w:ascii="宋体" w:hAnsi="宋体" w:eastAsia="宋体" w:cs="宋体"/>
          <w:sz w:val="32"/>
          <w:szCs w:val="32"/>
        </w:rPr>
      </w:pPr>
      <w:r>
        <w:rPr>
          <w:rFonts w:hint="eastAsia" w:ascii="宋体" w:hAnsi="宋体" w:eastAsia="宋体" w:cs="宋体"/>
          <w:sz w:val="32"/>
          <w:szCs w:val="32"/>
        </w:rPr>
        <w:t>培养学生的自主学习能力，鼓励他们主动探索数学知识在专业领域中的应用。</w:t>
      </w:r>
    </w:p>
    <w:p>
      <w:pPr>
        <w:keepNext w:val="0"/>
        <w:keepLines w:val="0"/>
        <w:widowControl/>
        <w:suppressLineNumbers w:val="0"/>
        <w:spacing w:line="360" w:lineRule="auto"/>
        <w:jc w:val="left"/>
        <w:rPr>
          <w:rFonts w:hint="eastAsia" w:ascii="宋体" w:hAnsi="宋体" w:eastAsia="宋体" w:cs="宋体"/>
          <w:sz w:val="32"/>
          <w:szCs w:val="32"/>
        </w:rPr>
      </w:pPr>
      <w:r>
        <w:rPr>
          <w:rFonts w:hint="eastAsia" w:ascii="宋体" w:hAnsi="宋体" w:eastAsia="宋体" w:cs="宋体"/>
          <w:sz w:val="32"/>
          <w:szCs w:val="32"/>
        </w:rPr>
        <w:t>建立良好的师生关系，营造轻松、和谐的学习氛围，使学生能够积极参与讨论和交流。</w:t>
      </w:r>
    </w:p>
    <w:p>
      <w:pPr>
        <w:keepNext w:val="0"/>
        <w:keepLines w:val="0"/>
        <w:widowControl/>
        <w:suppressLineNumbers w:val="0"/>
        <w:spacing w:line="360" w:lineRule="auto"/>
        <w:jc w:val="left"/>
        <w:rPr>
          <w:rFonts w:hint="eastAsia" w:ascii="宋体" w:hAnsi="宋体" w:eastAsia="宋体" w:cs="宋体"/>
          <w:sz w:val="32"/>
          <w:szCs w:val="32"/>
        </w:rPr>
      </w:pPr>
      <w:r>
        <w:rPr>
          <w:rFonts w:hint="eastAsia" w:ascii="宋体" w:hAnsi="宋体" w:eastAsia="宋体" w:cs="宋体"/>
          <w:sz w:val="32"/>
          <w:szCs w:val="32"/>
        </w:rPr>
        <w:t>给予学生充分的实践机会，让他们在实践中运用数学知识解决专业问题，加深对知识的理解和运用。</w:t>
      </w:r>
    </w:p>
    <w:p>
      <w:pPr>
        <w:keepNext w:val="0"/>
        <w:keepLines w:val="0"/>
        <w:widowControl/>
        <w:numPr>
          <w:ilvl w:val="0"/>
          <w:numId w:val="4"/>
        </w:numPr>
        <w:suppressLineNumbers w:val="0"/>
        <w:spacing w:line="360" w:lineRule="auto"/>
        <w:ind w:left="0" w:leftChars="0" w:firstLine="520" w:firstLineChars="0"/>
        <w:jc w:val="left"/>
        <w:rPr>
          <w:rFonts w:hint="eastAsia" w:ascii="宋体" w:hAnsi="宋体" w:eastAsia="宋体" w:cs="宋体"/>
          <w:sz w:val="32"/>
          <w:szCs w:val="32"/>
        </w:rPr>
      </w:pPr>
      <w:r>
        <w:rPr>
          <w:rFonts w:hint="eastAsia" w:ascii="宋体" w:hAnsi="宋体" w:eastAsia="宋体" w:cs="宋体"/>
          <w:sz w:val="32"/>
          <w:szCs w:val="32"/>
        </w:rPr>
        <w:t>教学资源整合</w:t>
      </w:r>
    </w:p>
    <w:p>
      <w:pPr>
        <w:keepNext w:val="0"/>
        <w:keepLines w:val="0"/>
        <w:widowControl/>
        <w:suppressLineNumbers w:val="0"/>
        <w:spacing w:line="360" w:lineRule="auto"/>
        <w:jc w:val="left"/>
        <w:rPr>
          <w:rFonts w:hint="eastAsia" w:ascii="宋体" w:hAnsi="宋体" w:eastAsia="宋体" w:cs="宋体"/>
          <w:sz w:val="32"/>
          <w:szCs w:val="32"/>
        </w:rPr>
      </w:pPr>
      <w:r>
        <w:rPr>
          <w:rFonts w:hint="eastAsia" w:ascii="宋体" w:hAnsi="宋体" w:eastAsia="宋体" w:cs="宋体"/>
          <w:sz w:val="32"/>
          <w:szCs w:val="32"/>
        </w:rPr>
        <w:t>融合教学需要整合各种教学资源，包括教材、教具、多媒体等。为了确保教学资源的充分利用和优化配置，教师应：</w:t>
      </w:r>
    </w:p>
    <w:p>
      <w:pPr>
        <w:keepNext w:val="0"/>
        <w:keepLines w:val="0"/>
        <w:widowControl/>
        <w:suppressLineNumbers w:val="0"/>
        <w:spacing w:line="360" w:lineRule="auto"/>
        <w:jc w:val="left"/>
        <w:rPr>
          <w:rFonts w:hint="eastAsia" w:ascii="宋体" w:hAnsi="宋体" w:eastAsia="宋体" w:cs="宋体"/>
          <w:sz w:val="32"/>
          <w:szCs w:val="32"/>
        </w:rPr>
      </w:pPr>
      <w:r>
        <w:rPr>
          <w:rFonts w:hint="eastAsia" w:ascii="宋体" w:hAnsi="宋体" w:eastAsia="宋体" w:cs="宋体"/>
          <w:sz w:val="32"/>
          <w:szCs w:val="32"/>
        </w:rPr>
        <w:t>根据专业课程的内容和学生需求选择合适的教材和教具确保知识的准确性和实用性。</w:t>
      </w:r>
    </w:p>
    <w:p>
      <w:pPr>
        <w:keepNext w:val="0"/>
        <w:keepLines w:val="0"/>
        <w:widowControl/>
        <w:suppressLineNumbers w:val="0"/>
        <w:spacing w:line="360" w:lineRule="auto"/>
        <w:jc w:val="left"/>
        <w:rPr>
          <w:rFonts w:hint="eastAsia" w:ascii="宋体" w:hAnsi="宋体" w:eastAsia="宋体" w:cs="宋体"/>
          <w:sz w:val="32"/>
          <w:szCs w:val="32"/>
        </w:rPr>
      </w:pPr>
      <w:r>
        <w:rPr>
          <w:rFonts w:hint="eastAsia" w:ascii="宋体" w:hAnsi="宋体" w:eastAsia="宋体" w:cs="宋体"/>
          <w:sz w:val="32"/>
          <w:szCs w:val="32"/>
        </w:rPr>
        <w:t>积极利用多媒体技术如投影仪、计算机软件等将抽象的数学知识以直观、生动的方式呈现出来帮助学生更好地理解和掌握。</w:t>
      </w:r>
    </w:p>
    <w:p>
      <w:pPr>
        <w:keepNext w:val="0"/>
        <w:keepLines w:val="0"/>
        <w:widowControl/>
        <w:suppressLineNumbers w:val="0"/>
        <w:spacing w:line="360" w:lineRule="auto"/>
        <w:jc w:val="left"/>
        <w:rPr>
          <w:rFonts w:hint="eastAsia" w:ascii="宋体" w:hAnsi="宋体" w:eastAsia="宋体" w:cs="宋体"/>
          <w:sz w:val="32"/>
          <w:szCs w:val="32"/>
        </w:rPr>
      </w:pPr>
      <w:r>
        <w:rPr>
          <w:rFonts w:hint="eastAsia" w:ascii="宋体" w:hAnsi="宋体" w:eastAsia="宋体" w:cs="宋体"/>
          <w:sz w:val="32"/>
          <w:szCs w:val="32"/>
        </w:rPr>
        <w:t>与其他教师和专家合作共享教学资源和经验促进教学质量和水平的提高。例如可以组织定期的教学研讨会、观摩课等活动加强教师之间的交流和合作。</w:t>
      </w:r>
    </w:p>
    <w:p>
      <w:pPr>
        <w:keepNext w:val="0"/>
        <w:keepLines w:val="0"/>
        <w:widowControl/>
        <w:numPr>
          <w:ilvl w:val="0"/>
          <w:numId w:val="4"/>
        </w:numPr>
        <w:suppressLineNumbers w:val="0"/>
        <w:spacing w:line="360" w:lineRule="auto"/>
        <w:ind w:left="0" w:leftChars="0" w:firstLine="520" w:firstLineChars="0"/>
        <w:jc w:val="left"/>
        <w:rPr>
          <w:rFonts w:hint="eastAsia" w:ascii="宋体" w:hAnsi="宋体" w:eastAsia="宋体" w:cs="宋体"/>
          <w:sz w:val="32"/>
          <w:szCs w:val="32"/>
        </w:rPr>
      </w:pPr>
      <w:r>
        <w:rPr>
          <w:rFonts w:hint="eastAsia" w:ascii="宋体" w:hAnsi="宋体" w:eastAsia="宋体" w:cs="宋体"/>
          <w:sz w:val="32"/>
          <w:szCs w:val="32"/>
        </w:rPr>
        <w:t>教学方法设计</w:t>
      </w:r>
    </w:p>
    <w:p>
      <w:pPr>
        <w:keepNext w:val="0"/>
        <w:keepLines w:val="0"/>
        <w:widowControl/>
        <w:suppressLineNumbers w:val="0"/>
        <w:spacing w:line="360" w:lineRule="auto"/>
        <w:jc w:val="left"/>
        <w:rPr>
          <w:rFonts w:hint="eastAsia" w:ascii="宋体" w:hAnsi="宋体" w:eastAsia="宋体" w:cs="宋体"/>
          <w:sz w:val="32"/>
          <w:szCs w:val="32"/>
        </w:rPr>
      </w:pPr>
      <w:r>
        <w:rPr>
          <w:rFonts w:hint="eastAsia" w:ascii="宋体" w:hAnsi="宋体" w:eastAsia="宋体" w:cs="宋体"/>
          <w:sz w:val="32"/>
          <w:szCs w:val="32"/>
        </w:rPr>
        <w:t>融合教学需要采用多种教学方法以适应不同学生的学习需求和风格。常用的教学方法包括讲授、讨论、实践、探究等。为了确保教学方法的有效性和针对性教师应根据教学内容和学生的实际情况选择合适的教学方法提高教学效果。例如对于理论性较强的知识点可以采用讲授法；对于实际应用较强的知识点可以采用实践法或探究法。灵活运用创新性的教学方法如小组合作、角色扮演等激发学生的学习兴趣和积极性培养他们的团队合作精神和创新能力。注重教学过程的互动性和趣味性通过提问、讨论、案例分析等方式引导学生积极参与思考提高课堂氛围的活跃度。</w:t>
      </w:r>
    </w:p>
    <w:p>
      <w:pPr>
        <w:keepNext w:val="0"/>
        <w:keepLines w:val="0"/>
        <w:widowControl/>
        <w:numPr>
          <w:ilvl w:val="0"/>
          <w:numId w:val="4"/>
        </w:numPr>
        <w:suppressLineNumbers w:val="0"/>
        <w:spacing w:line="360" w:lineRule="auto"/>
        <w:ind w:left="0" w:leftChars="0" w:firstLine="520" w:firstLineChars="0"/>
        <w:jc w:val="left"/>
        <w:rPr>
          <w:rFonts w:hint="eastAsia" w:ascii="宋体" w:hAnsi="宋体" w:eastAsia="宋体" w:cs="宋体"/>
          <w:sz w:val="32"/>
          <w:szCs w:val="32"/>
        </w:rPr>
      </w:pPr>
      <w:r>
        <w:rPr>
          <w:rFonts w:hint="eastAsia" w:ascii="宋体" w:hAnsi="宋体" w:eastAsia="宋体" w:cs="宋体"/>
          <w:sz w:val="32"/>
          <w:szCs w:val="32"/>
        </w:rPr>
        <w:t>教学评价</w:t>
      </w:r>
    </w:p>
    <w:p>
      <w:pPr>
        <w:keepNext w:val="0"/>
        <w:keepLines w:val="0"/>
        <w:widowControl/>
        <w:suppressLineNumbers w:val="0"/>
        <w:spacing w:line="360" w:lineRule="auto"/>
        <w:jc w:val="left"/>
        <w:rPr>
          <w:rFonts w:hint="eastAsia" w:ascii="宋体" w:hAnsi="宋体" w:eastAsia="宋体" w:cs="宋体"/>
          <w:sz w:val="32"/>
          <w:szCs w:val="32"/>
        </w:rPr>
      </w:pPr>
      <w:r>
        <w:rPr>
          <w:rFonts w:hint="eastAsia" w:ascii="宋体" w:hAnsi="宋体" w:eastAsia="宋体" w:cs="宋体"/>
          <w:sz w:val="32"/>
          <w:szCs w:val="32"/>
        </w:rPr>
        <w:t>为了检验融合教学的实施效果需要进行定期的教学评价。评价方法可以包括学生评价、教师评价和教学管理评价等。通过收集和分析评价结果可以发现教学中存在的问题和不足之处以便及时进行改进和优化。同时评价结果还可以作为教学改进和优化的依据促进教学质量和水平的提高。为了确保评价的客观性和准确性可以制定详细的评价标准和方法并对评价结果进行公开和分享以便各方面共同参与改进教学。</w:t>
      </w:r>
    </w:p>
    <w:p>
      <w:pPr>
        <w:spacing w:line="360" w:lineRule="auto"/>
        <w:rPr>
          <w:rFonts w:hint="eastAsia" w:ascii="宋体" w:hAnsi="宋体" w:eastAsia="宋体" w:cs="宋体"/>
          <w:sz w:val="32"/>
          <w:szCs w:val="32"/>
        </w:rPr>
      </w:pPr>
      <w:r>
        <w:rPr>
          <w:rFonts w:hint="eastAsia" w:ascii="宋体" w:hAnsi="宋体" w:eastAsia="宋体" w:cs="宋体"/>
          <w:sz w:val="32"/>
          <w:szCs w:val="32"/>
        </w:rPr>
        <w:t>（三）融合方案的评估和反馈</w:t>
      </w:r>
    </w:p>
    <w:p>
      <w:pPr>
        <w:spacing w:line="360" w:lineRule="auto"/>
        <w:rPr>
          <w:rFonts w:hint="eastAsia" w:ascii="宋体" w:hAnsi="宋体" w:eastAsia="宋体" w:cs="宋体"/>
          <w:sz w:val="32"/>
          <w:szCs w:val="32"/>
        </w:rPr>
      </w:pPr>
      <w:r>
        <w:rPr>
          <w:rFonts w:hint="eastAsia" w:ascii="宋体" w:hAnsi="宋体" w:eastAsia="宋体" w:cs="宋体"/>
          <w:sz w:val="32"/>
          <w:szCs w:val="32"/>
        </w:rPr>
        <w:t>融合高职数学与专业课的方案是一个复杂且需要不断改进的过程。评估和反馈机制的建立是确保方案实施效果的关键。以下将详细论述融合方案的评估和反馈建立评估机制,对融合方案的实施效果进行定期评估,并根据反馈进行调整和改进。</w:t>
      </w:r>
    </w:p>
    <w:p>
      <w:pPr>
        <w:spacing w:line="360" w:lineRule="auto"/>
        <w:rPr>
          <w:rFonts w:hint="eastAsia" w:ascii="宋体" w:hAnsi="宋体" w:eastAsia="宋体" w:cs="宋体"/>
          <w:sz w:val="32"/>
          <w:szCs w:val="32"/>
        </w:rPr>
      </w:pPr>
      <w:r>
        <w:rPr>
          <w:rFonts w:hint="eastAsia" w:ascii="宋体" w:hAnsi="宋体" w:eastAsia="宋体" w:cs="宋体"/>
          <w:sz w:val="32"/>
          <w:szCs w:val="32"/>
        </w:rPr>
        <w:t>首先,需要明确评估的目标和标准。评估的目标应该是评估融合方案的实施效果,包括融合程度、教学效果、学生反馈等方面。评估标准应该根据具体情况进行制定,例如教学目标的达成情况、学生对数学与专业课融合的满意度等。</w:t>
      </w:r>
    </w:p>
    <w:p>
      <w:pPr>
        <w:spacing w:line="360" w:lineRule="auto"/>
        <w:rPr>
          <w:rFonts w:hint="eastAsia" w:ascii="宋体" w:hAnsi="宋体" w:eastAsia="宋体" w:cs="宋体"/>
          <w:sz w:val="32"/>
          <w:szCs w:val="32"/>
        </w:rPr>
      </w:pPr>
      <w:r>
        <w:rPr>
          <w:rFonts w:hint="eastAsia" w:ascii="宋体" w:hAnsi="宋体" w:eastAsia="宋体" w:cs="宋体"/>
          <w:sz w:val="32"/>
          <w:szCs w:val="32"/>
        </w:rPr>
        <w:t>其次,需要建立评估机制。评估机制应该包括评估人员、评估方法、评估频次等方面。评估人员应该由教育专家、数学教师、专业课教师等组成,评估方法应该采用定量和定性相结合的方式,例如问卷调查、教学观察、学生反馈等。评估频次应该根据具体情况进行制定,例如每学期或每年一次。</w:t>
      </w:r>
    </w:p>
    <w:p>
      <w:pPr>
        <w:spacing w:line="360" w:lineRule="auto"/>
        <w:rPr>
          <w:rFonts w:hint="eastAsia" w:ascii="宋体" w:hAnsi="宋体" w:eastAsia="宋体" w:cs="宋体"/>
          <w:sz w:val="32"/>
          <w:szCs w:val="32"/>
        </w:rPr>
      </w:pPr>
      <w:r>
        <w:rPr>
          <w:rFonts w:hint="eastAsia" w:ascii="宋体" w:hAnsi="宋体" w:eastAsia="宋体" w:cs="宋体"/>
          <w:sz w:val="32"/>
          <w:szCs w:val="32"/>
        </w:rPr>
        <w:t>第三,需要定期评估。定期评估可以及时发现融合方案的实施效果,及时进行调整和改进。评估应该在实施过程中进行,及时收集反馈信息,及时发现问题并进行调整。评估的结果应该及时反馈给教育专家、数学教师、专业课教师等,以便进行改进。</w:t>
      </w:r>
    </w:p>
    <w:p>
      <w:pPr>
        <w:spacing w:line="360" w:lineRule="auto"/>
        <w:rPr>
          <w:rFonts w:hint="eastAsia" w:ascii="宋体" w:hAnsi="宋体" w:eastAsia="宋体" w:cs="宋体"/>
          <w:sz w:val="32"/>
          <w:szCs w:val="32"/>
        </w:rPr>
      </w:pPr>
      <w:r>
        <w:rPr>
          <w:rFonts w:hint="eastAsia" w:ascii="宋体" w:hAnsi="宋体" w:eastAsia="宋体" w:cs="宋体"/>
          <w:sz w:val="32"/>
          <w:szCs w:val="32"/>
        </w:rPr>
        <w:t>最后,需要根据反馈进行调整和改进。反馈是评估的重要结果,可以帮助我们了解融合方案的实施效果,及时发现问题并进行调整和改进。反馈应该及时收集和分析,及时制定改进方案,并及时实施。</w:t>
      </w:r>
    </w:p>
    <w:p>
      <w:pPr>
        <w:spacing w:line="360" w:lineRule="auto"/>
        <w:rPr>
          <w:rFonts w:hint="eastAsia" w:ascii="宋体" w:hAnsi="宋体" w:eastAsia="宋体" w:cs="宋体"/>
          <w:sz w:val="32"/>
          <w:szCs w:val="32"/>
        </w:rPr>
      </w:pPr>
      <w:r>
        <w:rPr>
          <w:rFonts w:hint="eastAsia" w:ascii="宋体" w:hAnsi="宋体" w:eastAsia="宋体" w:cs="宋体"/>
          <w:sz w:val="32"/>
          <w:szCs w:val="32"/>
        </w:rPr>
        <w:t>融合高职数学与专业课的方案需要建立评估和反馈机制,定期评估融合方案的实施效果,并根据反馈进行调整和改进。评估和反馈机制的建立可以帮助我们及时发现问题并及时调整,从而实现高职数学与专业课融合的有效性和高效性。</w:t>
      </w:r>
    </w:p>
    <w:p>
      <w:pPr>
        <w:spacing w:line="360" w:lineRule="auto"/>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融合方案的实施——以财经专业为例</w:t>
      </w:r>
    </w:p>
    <w:p>
      <w:pPr>
        <w:spacing w:line="360" w:lineRule="auto"/>
        <w:rPr>
          <w:rFonts w:hint="eastAsia" w:ascii="宋体" w:hAnsi="宋体" w:eastAsia="宋体" w:cs="宋体"/>
          <w:sz w:val="32"/>
          <w:szCs w:val="32"/>
        </w:rPr>
      </w:pPr>
      <w:r>
        <w:rPr>
          <w:rFonts w:hint="eastAsia" w:ascii="宋体" w:hAnsi="宋体" w:eastAsia="宋体" w:cs="宋体"/>
          <w:sz w:val="32"/>
          <w:szCs w:val="32"/>
        </w:rPr>
        <w:t>（一）融合方案设计</w:t>
      </w:r>
    </w:p>
    <w:p>
      <w:pPr>
        <w:spacing w:line="360" w:lineRule="auto"/>
        <w:rPr>
          <w:rFonts w:hint="eastAsia" w:ascii="宋体" w:hAnsi="宋体" w:eastAsia="宋体" w:cs="宋体"/>
          <w:sz w:val="32"/>
          <w:szCs w:val="32"/>
        </w:rPr>
      </w:pPr>
      <w:r>
        <w:rPr>
          <w:rFonts w:hint="eastAsia" w:ascii="宋体" w:hAnsi="宋体" w:eastAsia="宋体" w:cs="宋体"/>
          <w:sz w:val="32"/>
          <w:szCs w:val="32"/>
        </w:rPr>
        <w:t>高职数学与财经专业的融合方案实践涉及多方面的综合措施，具体方案设计如下：</w:t>
      </w:r>
    </w:p>
    <w:p>
      <w:pPr>
        <w:numPr>
          <w:ilvl w:val="0"/>
          <w:numId w:val="5"/>
        </w:num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课程设置整合</w:t>
      </w:r>
    </w:p>
    <w:p>
      <w:pPr>
        <w:spacing w:line="360" w:lineRule="auto"/>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为确保数学与财经专业知识的紧密结合，我们在课程设置上进行了创新整合。例如，在财经核心课程中，我们嵌入了数学建模、统计分析等数学模块，帮助学生在掌握财经理论的同时，能够熟练运用数学方法进行实际问题分析。相应地，在数学课程中，我们也引入了金融数学、经济数学等内容，使学生能在学习数学知识时，深入理解其在财经领域的实际应用。</w:t>
      </w:r>
    </w:p>
    <w:p>
      <w:pPr>
        <w:numPr>
          <w:ilvl w:val="0"/>
          <w:numId w:val="5"/>
        </w:numPr>
        <w:spacing w:line="360" w:lineRule="auto"/>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教学方法创新</w:t>
      </w:r>
    </w:p>
    <w:p>
      <w:pPr>
        <w:spacing w:line="360" w:lineRule="auto"/>
        <w:rPr>
          <w:rFonts w:hint="eastAsia" w:ascii="宋体" w:hAnsi="宋体" w:eastAsia="宋体" w:cs="宋体"/>
          <w:sz w:val="32"/>
          <w:szCs w:val="32"/>
        </w:rPr>
      </w:pPr>
      <w:r>
        <w:rPr>
          <w:rFonts w:hint="eastAsia" w:ascii="宋体" w:hAnsi="宋体" w:eastAsia="宋体" w:cs="宋体"/>
          <w:sz w:val="32"/>
          <w:szCs w:val="32"/>
        </w:rPr>
        <w:t>为提高学生的学习兴趣和实践能力，我们采用了多种先进的教学方法。包括任务驱动法，通过实际财经任务来驱动数学学习；案例教学法，引入真实的财经案例，让学生运用数学知识进行实际分析；项目教学法，组织学生参与真实的财经项目，实践数学知识的应用；以及翻转课堂教学法和情景模拟教学法等。这些方法不仅丰富了教学手段，更有效地促进了数学与财经知识的深度融合。</w:t>
      </w:r>
    </w:p>
    <w:p>
      <w:pPr>
        <w:numPr>
          <w:ilvl w:val="0"/>
          <w:numId w:val="5"/>
        </w:numPr>
        <w:spacing w:line="360" w:lineRule="auto"/>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实践教学强化</w:t>
      </w:r>
    </w:p>
    <w:p>
      <w:pPr>
        <w:spacing w:line="360" w:lineRule="auto"/>
        <w:rPr>
          <w:rFonts w:hint="eastAsia" w:ascii="宋体" w:hAnsi="宋体" w:eastAsia="宋体" w:cs="宋体"/>
          <w:sz w:val="32"/>
          <w:szCs w:val="32"/>
        </w:rPr>
      </w:pPr>
      <w:r>
        <w:rPr>
          <w:rFonts w:hint="eastAsia" w:ascii="宋体" w:hAnsi="宋体" w:eastAsia="宋体" w:cs="宋体"/>
          <w:sz w:val="32"/>
          <w:szCs w:val="32"/>
        </w:rPr>
        <w:t>我们充分利用实训平台，让学生在高度仿真的财经环境中进行实践操作。例如，通过分析真实的商务数据、参与模拟金融市场运作等，使学生能够将理论知识与实际操作紧密结合，提高其实践能力和综合素质。</w:t>
      </w:r>
    </w:p>
    <w:p>
      <w:pPr>
        <w:numPr>
          <w:ilvl w:val="0"/>
          <w:numId w:val="5"/>
        </w:numPr>
        <w:spacing w:line="360" w:lineRule="auto"/>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教师团队交流合作</w:t>
      </w:r>
    </w:p>
    <w:p>
      <w:pPr>
        <w:spacing w:line="360" w:lineRule="auto"/>
        <w:rPr>
          <w:rFonts w:hint="eastAsia" w:ascii="宋体" w:hAnsi="宋体" w:eastAsia="宋体" w:cs="宋体"/>
          <w:sz w:val="32"/>
          <w:szCs w:val="32"/>
        </w:rPr>
      </w:pPr>
      <w:r>
        <w:rPr>
          <w:rFonts w:hint="eastAsia" w:ascii="宋体" w:hAnsi="宋体" w:eastAsia="宋体" w:cs="宋体"/>
          <w:sz w:val="32"/>
          <w:szCs w:val="32"/>
        </w:rPr>
        <w:t>我们积极推动数学教师与财经教师的交流合作。通过定期的教研活动、共同探讨教学方法和内容，促进两个专业教师团队之间的深度融合。同时，邀请行业专家参与教学，增强教学的实践性和前瞻性。</w:t>
      </w:r>
    </w:p>
    <w:p>
      <w:pPr>
        <w:numPr>
          <w:ilvl w:val="0"/>
          <w:numId w:val="5"/>
        </w:numPr>
        <w:spacing w:line="360" w:lineRule="auto"/>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教学资源建设完善</w:t>
      </w:r>
    </w:p>
    <w:p>
      <w:pPr>
        <w:spacing w:line="360" w:lineRule="auto"/>
        <w:rPr>
          <w:rFonts w:hint="eastAsia" w:ascii="宋体" w:hAnsi="宋体" w:eastAsia="宋体" w:cs="宋体"/>
          <w:sz w:val="32"/>
          <w:szCs w:val="32"/>
        </w:rPr>
      </w:pPr>
      <w:r>
        <w:rPr>
          <w:rFonts w:hint="eastAsia" w:ascii="宋体" w:hAnsi="宋体" w:eastAsia="宋体" w:cs="宋体"/>
          <w:sz w:val="32"/>
          <w:szCs w:val="32"/>
        </w:rPr>
        <w:t>为满足融合教学的需要，我们编写了立体化的教学资源。这些资源包括基本的数学知识模块、与财经相关的案例和专业问题，以及贯穿课前、课中和课后的教学任务和评价等。同时，我们注重引入最新的数学技术和应用，如大数据分析、机器学习等，确保教学内容的前沿性和实用性。</w:t>
      </w:r>
    </w:p>
    <w:p>
      <w:pPr>
        <w:spacing w:line="360" w:lineRule="auto"/>
        <w:rPr>
          <w:rFonts w:hint="eastAsia" w:ascii="宋体" w:hAnsi="宋体" w:eastAsia="宋体" w:cs="宋体"/>
          <w:sz w:val="32"/>
          <w:szCs w:val="32"/>
        </w:rPr>
      </w:pPr>
      <w:r>
        <w:rPr>
          <w:rFonts w:hint="eastAsia" w:ascii="宋体" w:hAnsi="宋体" w:eastAsia="宋体" w:cs="宋体"/>
          <w:sz w:val="32"/>
          <w:szCs w:val="32"/>
        </w:rPr>
        <w:t>（二）具体实施步骤</w:t>
      </w:r>
    </w:p>
    <w:p>
      <w:pPr>
        <w:spacing w:line="360" w:lineRule="auto"/>
        <w:rPr>
          <w:rFonts w:hint="eastAsia" w:ascii="宋体" w:hAnsi="宋体" w:eastAsia="宋体" w:cs="宋体"/>
          <w:sz w:val="32"/>
          <w:szCs w:val="32"/>
        </w:rPr>
      </w:pPr>
      <w:r>
        <w:rPr>
          <w:rFonts w:hint="eastAsia" w:ascii="宋体" w:hAnsi="宋体" w:eastAsia="宋体" w:cs="宋体"/>
          <w:sz w:val="32"/>
          <w:szCs w:val="32"/>
        </w:rPr>
        <w:t>具体实施步骤：</w:t>
      </w:r>
    </w:p>
    <w:p>
      <w:pPr>
        <w:spacing w:line="360" w:lineRule="auto"/>
        <w:rPr>
          <w:rFonts w:hint="eastAsia" w:ascii="宋体" w:hAnsi="宋体" w:eastAsia="宋体" w:cs="宋体"/>
          <w:sz w:val="32"/>
          <w:szCs w:val="32"/>
        </w:rPr>
      </w:pPr>
      <w:r>
        <w:rPr>
          <w:rFonts w:hint="eastAsia" w:ascii="宋体" w:hAnsi="宋体" w:eastAsia="宋体" w:cs="宋体"/>
          <w:sz w:val="32"/>
          <w:szCs w:val="32"/>
        </w:rPr>
        <w:t>1.明确融合目标与内容</w:t>
      </w:r>
    </w:p>
    <w:p>
      <w:pPr>
        <w:spacing w:line="360" w:lineRule="auto"/>
        <w:rPr>
          <w:rFonts w:hint="eastAsia" w:ascii="宋体" w:hAnsi="宋体" w:eastAsia="宋体" w:cs="宋体"/>
          <w:sz w:val="32"/>
          <w:szCs w:val="32"/>
        </w:rPr>
      </w:pPr>
      <w:r>
        <w:rPr>
          <w:rFonts w:hint="eastAsia" w:ascii="宋体" w:hAnsi="宋体" w:eastAsia="宋体" w:cs="宋体"/>
          <w:sz w:val="32"/>
          <w:szCs w:val="32"/>
        </w:rPr>
        <w:t>召开数学教师与财经专业教师的联席会议，共同研讨并明确融合教学的核心目标和预期效果。</w:t>
      </w:r>
    </w:p>
    <w:p>
      <w:pPr>
        <w:spacing w:line="360" w:lineRule="auto"/>
        <w:rPr>
          <w:rFonts w:hint="eastAsia" w:ascii="宋体" w:hAnsi="宋体" w:eastAsia="宋体" w:cs="宋体"/>
          <w:sz w:val="32"/>
          <w:szCs w:val="32"/>
        </w:rPr>
      </w:pPr>
      <w:r>
        <w:rPr>
          <w:rFonts w:hint="eastAsia" w:ascii="宋体" w:hAnsi="宋体" w:eastAsia="宋体" w:cs="宋体"/>
          <w:sz w:val="32"/>
          <w:szCs w:val="32"/>
        </w:rPr>
        <w:t>根据高职数学与财经专业的教学大纲，筛选与专业紧密相关的数学知识点。</w:t>
      </w:r>
    </w:p>
    <w:p>
      <w:pPr>
        <w:spacing w:line="360" w:lineRule="auto"/>
        <w:rPr>
          <w:rFonts w:hint="eastAsia" w:ascii="宋体" w:hAnsi="宋体" w:eastAsia="宋体" w:cs="宋体"/>
          <w:sz w:val="32"/>
          <w:szCs w:val="32"/>
        </w:rPr>
      </w:pPr>
      <w:r>
        <w:rPr>
          <w:rFonts w:hint="eastAsia" w:ascii="宋体" w:hAnsi="宋体" w:eastAsia="宋体" w:cs="宋体"/>
          <w:sz w:val="32"/>
          <w:szCs w:val="32"/>
        </w:rPr>
        <w:t>财经专业教师提供真实或模拟的财经案例，数学教师对其进行数学化改编，确保案例中既有数学知识又有实际应用场景。</w:t>
      </w:r>
    </w:p>
    <w:p>
      <w:pPr>
        <w:spacing w:line="360" w:lineRule="auto"/>
        <w:rPr>
          <w:rFonts w:hint="eastAsia" w:ascii="宋体" w:hAnsi="宋体" w:eastAsia="宋体" w:cs="宋体"/>
          <w:sz w:val="32"/>
          <w:szCs w:val="32"/>
        </w:rPr>
      </w:pPr>
      <w:r>
        <w:rPr>
          <w:rFonts w:hint="eastAsia" w:ascii="宋体" w:hAnsi="宋体" w:eastAsia="宋体" w:cs="宋体"/>
          <w:sz w:val="32"/>
          <w:szCs w:val="32"/>
        </w:rPr>
        <w:t>2.教学方法与活动设计</w:t>
      </w:r>
    </w:p>
    <w:p>
      <w:pPr>
        <w:spacing w:line="360" w:lineRule="auto"/>
        <w:rPr>
          <w:rFonts w:hint="eastAsia" w:ascii="宋体" w:hAnsi="宋体" w:eastAsia="宋体" w:cs="宋体"/>
          <w:sz w:val="32"/>
          <w:szCs w:val="32"/>
        </w:rPr>
      </w:pPr>
      <w:r>
        <w:rPr>
          <w:rFonts w:hint="eastAsia" w:ascii="宋体" w:hAnsi="宋体" w:eastAsia="宋体" w:cs="宋体"/>
          <w:sz w:val="32"/>
          <w:szCs w:val="32"/>
        </w:rPr>
        <w:t>结合所选数学知识点和财经案例，制定融合教学的详细方法，如任务驱动法、案例教学法等。</w:t>
      </w:r>
    </w:p>
    <w:p>
      <w:pPr>
        <w:spacing w:line="360" w:lineRule="auto"/>
        <w:rPr>
          <w:rFonts w:hint="eastAsia" w:ascii="宋体" w:hAnsi="宋体" w:eastAsia="宋体" w:cs="宋体"/>
          <w:sz w:val="32"/>
          <w:szCs w:val="32"/>
        </w:rPr>
      </w:pPr>
      <w:r>
        <w:rPr>
          <w:rFonts w:hint="eastAsia" w:ascii="宋体" w:hAnsi="宋体" w:eastAsia="宋体" w:cs="宋体"/>
          <w:sz w:val="32"/>
          <w:szCs w:val="32"/>
        </w:rPr>
        <w:t>设计具体的数学实验和数学建模活动，使学生在实际操作中加深对数学在财经中应用的理解。</w:t>
      </w:r>
    </w:p>
    <w:p>
      <w:pPr>
        <w:spacing w:line="360" w:lineRule="auto"/>
        <w:rPr>
          <w:rFonts w:hint="eastAsia" w:ascii="宋体" w:hAnsi="宋体" w:eastAsia="宋体" w:cs="宋体"/>
          <w:sz w:val="32"/>
          <w:szCs w:val="32"/>
        </w:rPr>
      </w:pPr>
      <w:r>
        <w:rPr>
          <w:rFonts w:hint="eastAsia" w:ascii="宋体" w:hAnsi="宋体" w:eastAsia="宋体" w:cs="宋体"/>
          <w:sz w:val="32"/>
          <w:szCs w:val="32"/>
        </w:rPr>
        <w:t>为确保融合教学的有序进行，制定详细的教学计划和评价方案，包括教学内容、教学方法、教学时间、评价方式等。</w:t>
      </w:r>
    </w:p>
    <w:p>
      <w:pPr>
        <w:spacing w:line="360" w:lineRule="auto"/>
        <w:rPr>
          <w:rFonts w:hint="eastAsia" w:ascii="宋体" w:hAnsi="宋体" w:eastAsia="宋体" w:cs="宋体"/>
          <w:sz w:val="32"/>
          <w:szCs w:val="32"/>
        </w:rPr>
      </w:pPr>
      <w:r>
        <w:rPr>
          <w:rFonts w:hint="eastAsia" w:ascii="宋体" w:hAnsi="宋体" w:eastAsia="宋体" w:cs="宋体"/>
          <w:sz w:val="32"/>
          <w:szCs w:val="32"/>
        </w:rPr>
        <w:t>3.融合教学实施</w:t>
      </w:r>
    </w:p>
    <w:p>
      <w:pPr>
        <w:spacing w:line="360" w:lineRule="auto"/>
        <w:rPr>
          <w:rFonts w:hint="eastAsia" w:ascii="宋体" w:hAnsi="宋体" w:eastAsia="宋体" w:cs="宋体"/>
          <w:sz w:val="32"/>
          <w:szCs w:val="32"/>
        </w:rPr>
      </w:pPr>
      <w:r>
        <w:rPr>
          <w:rFonts w:hint="eastAsia" w:ascii="宋体" w:hAnsi="宋体" w:eastAsia="宋体" w:cs="宋体"/>
          <w:sz w:val="32"/>
          <w:szCs w:val="32"/>
        </w:rPr>
        <w:t>按照预先设计的教学计划，组织学生进行融合学习。</w:t>
      </w:r>
    </w:p>
    <w:p>
      <w:pPr>
        <w:spacing w:line="360" w:lineRule="auto"/>
        <w:rPr>
          <w:rFonts w:hint="eastAsia" w:ascii="宋体" w:hAnsi="宋体" w:eastAsia="宋体" w:cs="宋体"/>
          <w:sz w:val="32"/>
          <w:szCs w:val="32"/>
        </w:rPr>
      </w:pPr>
      <w:r>
        <w:rPr>
          <w:rFonts w:hint="eastAsia" w:ascii="宋体" w:hAnsi="宋体" w:eastAsia="宋体" w:cs="宋体"/>
          <w:sz w:val="32"/>
          <w:szCs w:val="32"/>
        </w:rPr>
        <w:t>在教学过程中，鼓励学生提问、分享和讨论，增强课堂互动。</w:t>
      </w:r>
    </w:p>
    <w:p>
      <w:pPr>
        <w:spacing w:line="360" w:lineRule="auto"/>
        <w:rPr>
          <w:rFonts w:hint="eastAsia" w:ascii="宋体" w:hAnsi="宋体" w:eastAsia="宋体" w:cs="宋体"/>
          <w:sz w:val="32"/>
          <w:szCs w:val="32"/>
        </w:rPr>
      </w:pPr>
      <w:r>
        <w:rPr>
          <w:rFonts w:hint="eastAsia" w:ascii="宋体" w:hAnsi="宋体" w:eastAsia="宋体" w:cs="宋体"/>
          <w:sz w:val="32"/>
          <w:szCs w:val="32"/>
        </w:rPr>
        <w:t>根据学生的学习反馈，适时调整教学策略和方法，确保教学效果。</w:t>
      </w:r>
    </w:p>
    <w:p>
      <w:pPr>
        <w:spacing w:line="360" w:lineRule="auto"/>
        <w:rPr>
          <w:rFonts w:hint="eastAsia" w:ascii="宋体" w:hAnsi="宋体" w:eastAsia="宋体" w:cs="宋体"/>
          <w:sz w:val="32"/>
          <w:szCs w:val="32"/>
        </w:rPr>
      </w:pPr>
      <w:r>
        <w:rPr>
          <w:rFonts w:hint="eastAsia" w:ascii="宋体" w:hAnsi="宋体" w:eastAsia="宋体" w:cs="宋体"/>
          <w:sz w:val="32"/>
          <w:szCs w:val="32"/>
        </w:rPr>
        <w:t>4.融合效果评估与反馈</w:t>
      </w:r>
    </w:p>
    <w:p>
      <w:pPr>
        <w:spacing w:line="360" w:lineRule="auto"/>
        <w:rPr>
          <w:rFonts w:hint="eastAsia" w:ascii="宋体" w:hAnsi="宋体" w:eastAsia="宋体" w:cs="宋体"/>
          <w:sz w:val="32"/>
          <w:szCs w:val="32"/>
        </w:rPr>
      </w:pPr>
      <w:r>
        <w:rPr>
          <w:rFonts w:hint="eastAsia" w:ascii="宋体" w:hAnsi="宋体" w:eastAsia="宋体" w:cs="宋体"/>
          <w:sz w:val="32"/>
          <w:szCs w:val="32"/>
        </w:rPr>
        <w:t>设计综合性的测试、作业和项目，对学生的数学知识掌握和实践能力进行全面评估。</w:t>
      </w:r>
    </w:p>
    <w:p>
      <w:pPr>
        <w:spacing w:line="360" w:lineRule="auto"/>
        <w:rPr>
          <w:rFonts w:hint="eastAsia" w:ascii="宋体" w:hAnsi="宋体" w:eastAsia="宋体" w:cs="宋体"/>
          <w:sz w:val="32"/>
          <w:szCs w:val="32"/>
        </w:rPr>
      </w:pPr>
      <w:r>
        <w:rPr>
          <w:rFonts w:hint="eastAsia" w:ascii="宋体" w:hAnsi="宋体" w:eastAsia="宋体" w:cs="宋体"/>
          <w:sz w:val="32"/>
          <w:szCs w:val="32"/>
        </w:rPr>
        <w:t>收集并整理学生的反馈意见，对融合教学方法和效果进行客观评价。</w:t>
      </w:r>
    </w:p>
    <w:p>
      <w:pPr>
        <w:spacing w:line="360" w:lineRule="auto"/>
        <w:rPr>
          <w:rFonts w:hint="eastAsia" w:ascii="宋体" w:hAnsi="宋体" w:eastAsia="宋体" w:cs="宋体"/>
          <w:sz w:val="32"/>
          <w:szCs w:val="32"/>
        </w:rPr>
      </w:pPr>
      <w:r>
        <w:rPr>
          <w:rFonts w:hint="eastAsia" w:ascii="宋体" w:hAnsi="宋体" w:eastAsia="宋体" w:cs="宋体"/>
          <w:sz w:val="32"/>
          <w:szCs w:val="32"/>
        </w:rPr>
        <w:t>组织数学教师与财经专业教师进行经验分享和教学反思，共同讨论融合教学中的问题和改进方向。</w:t>
      </w:r>
    </w:p>
    <w:p>
      <w:pPr>
        <w:spacing w:line="360" w:lineRule="auto"/>
        <w:rPr>
          <w:rFonts w:hint="eastAsia" w:ascii="宋体" w:hAnsi="宋体" w:eastAsia="宋体" w:cs="宋体"/>
          <w:sz w:val="32"/>
          <w:szCs w:val="32"/>
        </w:rPr>
      </w:pPr>
      <w:r>
        <w:rPr>
          <w:rFonts w:hint="eastAsia" w:ascii="宋体" w:hAnsi="宋体" w:eastAsia="宋体" w:cs="宋体"/>
          <w:sz w:val="32"/>
          <w:szCs w:val="32"/>
        </w:rPr>
        <w:t>根据评估结果和学生反馈，对融合教学方案进行针对性的调整和优化，为下一轮的教学提供参考。</w:t>
      </w:r>
    </w:p>
    <w:p>
      <w:pPr>
        <w:spacing w:line="360" w:lineRule="auto"/>
        <w:rPr>
          <w:rFonts w:hint="eastAsia" w:ascii="宋体" w:hAnsi="宋体" w:eastAsia="宋体" w:cs="宋体"/>
          <w:sz w:val="32"/>
          <w:szCs w:val="32"/>
        </w:rPr>
      </w:pPr>
      <w:r>
        <w:rPr>
          <w:rFonts w:hint="eastAsia" w:ascii="宋体" w:hAnsi="宋体" w:eastAsia="宋体" w:cs="宋体"/>
          <w:sz w:val="32"/>
          <w:szCs w:val="32"/>
        </w:rPr>
        <w:t>（三）融合效果</w:t>
      </w:r>
    </w:p>
    <w:p>
      <w:pPr>
        <w:spacing w:line="360" w:lineRule="auto"/>
        <w:rPr>
          <w:rFonts w:hint="eastAsia" w:ascii="宋体" w:hAnsi="宋体" w:eastAsia="宋体" w:cs="宋体"/>
          <w:sz w:val="32"/>
          <w:szCs w:val="32"/>
        </w:rPr>
      </w:pPr>
      <w:r>
        <w:rPr>
          <w:rFonts w:hint="eastAsia" w:ascii="宋体" w:hAnsi="宋体" w:eastAsia="宋体" w:cs="宋体"/>
          <w:sz w:val="32"/>
          <w:szCs w:val="32"/>
        </w:rPr>
        <w:t>融合效果呈现如下：</w:t>
      </w:r>
    </w:p>
    <w:p>
      <w:pPr>
        <w:spacing w:line="360" w:lineRule="auto"/>
        <w:rPr>
          <w:rFonts w:hint="eastAsia" w:ascii="宋体" w:hAnsi="宋体" w:eastAsia="宋体" w:cs="宋体"/>
          <w:sz w:val="32"/>
          <w:szCs w:val="32"/>
        </w:rPr>
      </w:pPr>
      <w:r>
        <w:rPr>
          <w:rFonts w:hint="eastAsia" w:ascii="宋体" w:hAnsi="宋体" w:eastAsia="宋体" w:cs="宋体"/>
          <w:sz w:val="32"/>
          <w:szCs w:val="32"/>
        </w:rPr>
        <w:t>1.数学知识与财经应用的无缝对接</w:t>
      </w:r>
    </w:p>
    <w:p>
      <w:pPr>
        <w:spacing w:line="360" w:lineRule="auto"/>
        <w:rPr>
          <w:rFonts w:hint="eastAsia" w:ascii="宋体" w:hAnsi="宋体" w:eastAsia="宋体" w:cs="宋体"/>
          <w:sz w:val="32"/>
          <w:szCs w:val="32"/>
        </w:rPr>
      </w:pPr>
      <w:r>
        <w:rPr>
          <w:rFonts w:hint="eastAsia" w:ascii="宋体" w:hAnsi="宋体" w:eastAsia="宋体" w:cs="宋体"/>
          <w:sz w:val="32"/>
          <w:szCs w:val="32"/>
        </w:rPr>
        <w:t>经过融合教学，数学知识与财经实践之间实现了无缝对接。学生们不仅能够深入理解数学原理，更能将其熟练应用于财经领域，如金融分析、风险评估等。这种对接不仅增强了学生的专业素养，更拓宽了他们的职业发展空间。</w:t>
      </w:r>
    </w:p>
    <w:p>
      <w:pPr>
        <w:spacing w:line="360" w:lineRule="auto"/>
        <w:rPr>
          <w:rFonts w:hint="eastAsia" w:ascii="宋体" w:hAnsi="宋体" w:eastAsia="宋体" w:cs="宋体"/>
          <w:sz w:val="32"/>
          <w:szCs w:val="32"/>
        </w:rPr>
      </w:pPr>
      <w:r>
        <w:rPr>
          <w:rFonts w:hint="eastAsia" w:ascii="宋体" w:hAnsi="宋体" w:eastAsia="宋体" w:cs="宋体"/>
          <w:sz w:val="32"/>
          <w:szCs w:val="32"/>
        </w:rPr>
        <w:t>2.学生学习动力与兴趣的显著提升</w:t>
      </w:r>
    </w:p>
    <w:p>
      <w:pPr>
        <w:spacing w:line="360" w:lineRule="auto"/>
        <w:rPr>
          <w:rFonts w:hint="eastAsia" w:ascii="宋体" w:hAnsi="宋体" w:eastAsia="宋体" w:cs="宋体"/>
          <w:sz w:val="32"/>
          <w:szCs w:val="32"/>
        </w:rPr>
      </w:pPr>
      <w:r>
        <w:rPr>
          <w:rFonts w:hint="eastAsia" w:ascii="宋体" w:hAnsi="宋体" w:eastAsia="宋体" w:cs="宋体"/>
          <w:sz w:val="32"/>
          <w:szCs w:val="32"/>
        </w:rPr>
        <w:t>融合教学中采用的多样化教学方法，如任务驱动法、案例教学法等，成功引发了学生的学习兴趣和动力。学生们表现出更高的学习主动性和参与度，积极投入到各种数学实验和建模活动中，探索数学知识的财经应用。</w:t>
      </w:r>
    </w:p>
    <w:p>
      <w:pPr>
        <w:spacing w:line="360" w:lineRule="auto"/>
        <w:rPr>
          <w:rFonts w:hint="eastAsia" w:ascii="宋体" w:hAnsi="宋体" w:eastAsia="宋体" w:cs="宋体"/>
          <w:sz w:val="32"/>
          <w:szCs w:val="32"/>
        </w:rPr>
      </w:pPr>
      <w:r>
        <w:rPr>
          <w:rFonts w:hint="eastAsia" w:ascii="宋体" w:hAnsi="宋体" w:eastAsia="宋体" w:cs="宋体"/>
          <w:sz w:val="32"/>
          <w:szCs w:val="32"/>
        </w:rPr>
        <w:t>3.团队协作与创新能力得到锻炼</w:t>
      </w:r>
    </w:p>
    <w:p>
      <w:pPr>
        <w:spacing w:line="360" w:lineRule="auto"/>
        <w:rPr>
          <w:rFonts w:hint="eastAsia" w:ascii="宋体" w:hAnsi="宋体" w:eastAsia="宋体" w:cs="宋体"/>
          <w:sz w:val="32"/>
          <w:szCs w:val="32"/>
        </w:rPr>
      </w:pPr>
      <w:r>
        <w:rPr>
          <w:rFonts w:hint="eastAsia" w:ascii="宋体" w:hAnsi="宋体" w:eastAsia="宋体" w:cs="宋体"/>
          <w:sz w:val="32"/>
          <w:szCs w:val="32"/>
        </w:rPr>
        <w:t>融合教学注重培养学生的团队协作和创新能力。通过各种分组合作和项目实践，学生们不仅锻炼了团队协作能力，还在实践中培养了创新思维。他们学会如何在团队中发挥自己的优势，如何共同解决问题，以及如何将理论知识转化为实际应用。</w:t>
      </w:r>
    </w:p>
    <w:p>
      <w:pPr>
        <w:spacing w:line="360" w:lineRule="auto"/>
        <w:rPr>
          <w:rFonts w:hint="eastAsia" w:ascii="宋体" w:hAnsi="宋体" w:eastAsia="宋体" w:cs="宋体"/>
          <w:sz w:val="32"/>
          <w:szCs w:val="32"/>
        </w:rPr>
      </w:pPr>
      <w:r>
        <w:rPr>
          <w:rFonts w:hint="eastAsia" w:ascii="宋体" w:hAnsi="宋体" w:eastAsia="宋体" w:cs="宋体"/>
          <w:sz w:val="32"/>
          <w:szCs w:val="32"/>
        </w:rPr>
        <w:t>4.教学效果与质量的持续优化</w:t>
      </w:r>
    </w:p>
    <w:p>
      <w:pPr>
        <w:spacing w:line="360" w:lineRule="auto"/>
        <w:rPr>
          <w:rFonts w:hint="eastAsia" w:ascii="宋体" w:hAnsi="宋体" w:eastAsia="宋体" w:cs="宋体"/>
          <w:sz w:val="32"/>
          <w:szCs w:val="32"/>
        </w:rPr>
      </w:pPr>
      <w:r>
        <w:rPr>
          <w:rFonts w:hint="eastAsia" w:ascii="宋体" w:hAnsi="宋体" w:eastAsia="宋体" w:cs="宋体"/>
          <w:sz w:val="32"/>
          <w:szCs w:val="32"/>
        </w:rPr>
        <w:t>融合教学的实施，显著提高了教学效果和质量。学生们在数学知识的掌握和实践能力的提升上均表现出色。同时，通过及时收集学生的反馈意见，我们得以发现并改进教学中的问题和不足，持续优化教学方案，以满足学生的学习需求。这种持续改进的教学模式确保了教学质量的稳步提升和学生满意度的不断提高。</w:t>
      </w:r>
    </w:p>
    <w:p>
      <w:pPr>
        <w:spacing w:line="360" w:lineRule="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四）</w:t>
      </w:r>
      <w:r>
        <w:rPr>
          <w:rFonts w:hint="eastAsia" w:ascii="宋体" w:hAnsi="宋体" w:eastAsia="宋体" w:cs="宋体"/>
          <w:sz w:val="32"/>
          <w:szCs w:val="32"/>
        </w:rPr>
        <w:t>总结和反思</w:t>
      </w:r>
    </w:p>
    <w:p>
      <w:pPr>
        <w:spacing w:line="360" w:lineRule="auto"/>
        <w:rPr>
          <w:rFonts w:hint="eastAsia" w:ascii="宋体" w:hAnsi="宋体" w:eastAsia="宋体" w:cs="宋体"/>
          <w:sz w:val="32"/>
          <w:szCs w:val="32"/>
        </w:rPr>
      </w:pPr>
      <w:r>
        <w:rPr>
          <w:rFonts w:hint="eastAsia" w:ascii="宋体" w:hAnsi="宋体" w:eastAsia="宋体" w:cs="宋体"/>
          <w:sz w:val="32"/>
          <w:szCs w:val="32"/>
        </w:rPr>
        <w:t>本次融合方案的实施，我们实现了高职数学与财经专业的有机结合，使学生在学习过程中能够感受到数学知识的实际应用价值，提高了学生的学习动力和兴趣。通过多样化的教学方法，学生的团队协作和创新能力得到了锻炼，教学效果和质量也得到了显著的提升。这为我们今后的教学工作提供了宝贵的经验和参考。</w:t>
      </w:r>
    </w:p>
    <w:p>
      <w:pPr>
        <w:spacing w:line="360" w:lineRule="auto"/>
        <w:rPr>
          <w:rFonts w:hint="eastAsia" w:ascii="宋体" w:hAnsi="宋体" w:eastAsia="宋体" w:cs="宋体"/>
          <w:sz w:val="32"/>
          <w:szCs w:val="32"/>
        </w:rPr>
      </w:pPr>
      <w:r>
        <w:rPr>
          <w:rFonts w:hint="eastAsia" w:ascii="宋体" w:hAnsi="宋体" w:eastAsia="宋体" w:cs="宋体"/>
          <w:sz w:val="32"/>
          <w:szCs w:val="32"/>
        </w:rPr>
        <w:t>但同时我们也发现，课程内容整合方面，尽管我们进行了一定的努力，但部分专业课程与数学课程之间的关联性仍显不足，未能达到深度的融合。在今后的教学中，我们应更加注重课程内容的整合，确保数学知识与专业知识能够相互支撑、相互促进。</w:t>
      </w:r>
    </w:p>
    <w:p>
      <w:pPr>
        <w:spacing w:line="360" w:lineRule="auto"/>
        <w:rPr>
          <w:rFonts w:hint="eastAsia" w:ascii="宋体" w:hAnsi="宋体" w:eastAsia="宋体" w:cs="宋体"/>
          <w:sz w:val="32"/>
          <w:szCs w:val="32"/>
        </w:rPr>
      </w:pPr>
      <w:r>
        <w:rPr>
          <w:rFonts w:hint="eastAsia" w:ascii="宋体" w:hAnsi="宋体" w:eastAsia="宋体" w:cs="宋体"/>
          <w:sz w:val="32"/>
          <w:szCs w:val="32"/>
        </w:rPr>
        <w:t>教学方法上，虽然采用了任务驱动法、案例教学法等方法，但在课程中，传统的讲授式教学方法仍占有一定的比重，这在一定程度上影响了学生的学习兴趣和动力。我们需要进一步推进教学方法的改革，确保所有课程都能体现出学生的主体地位和实践能力的培养。</w:t>
      </w:r>
    </w:p>
    <w:p>
      <w:pPr>
        <w:spacing w:line="360" w:lineRule="auto"/>
        <w:rPr>
          <w:rFonts w:hint="eastAsia" w:ascii="宋体" w:hAnsi="宋体" w:eastAsia="宋体" w:cs="宋体"/>
          <w:sz w:val="32"/>
          <w:szCs w:val="32"/>
        </w:rPr>
      </w:pPr>
      <w:r>
        <w:rPr>
          <w:rFonts w:hint="eastAsia" w:ascii="宋体" w:hAnsi="宋体" w:eastAsia="宋体" w:cs="宋体"/>
          <w:sz w:val="32"/>
          <w:szCs w:val="32"/>
        </w:rPr>
        <w:t>在师资队伍建设上，虽然我们的教师团队具有一定的专业素质和教育教学能力，但仍有部分教师在某些方面存在不足。我们应继续加强教师的培训和提高，确保每位教师都能胜任融合教学的任务。</w:t>
      </w:r>
    </w:p>
    <w:p>
      <w:pPr>
        <w:spacing w:line="360" w:lineRule="auto"/>
        <w:rPr>
          <w:rFonts w:hint="eastAsia" w:ascii="宋体" w:hAnsi="宋体" w:eastAsia="宋体" w:cs="宋体"/>
          <w:sz w:val="32"/>
          <w:szCs w:val="32"/>
        </w:rPr>
      </w:pPr>
      <w:r>
        <w:rPr>
          <w:rFonts w:hint="eastAsia" w:ascii="宋体" w:hAnsi="宋体" w:eastAsia="宋体" w:cs="宋体"/>
          <w:sz w:val="32"/>
          <w:szCs w:val="32"/>
        </w:rPr>
        <w:t>评价机制方面，虽然我们尝试了一些新的评价方式，但总体上仍显得不够系统和科学。我们应进一步完善评价机制，确保评价能够真实反映学生的学习情况和能力水平，同时又能促进学生的全面发展。</w:t>
      </w:r>
    </w:p>
    <w:p>
      <w:pPr>
        <w:spacing w:line="360" w:lineRule="auto"/>
        <w:rPr>
          <w:rFonts w:hint="eastAsia" w:ascii="宋体" w:hAnsi="宋体" w:eastAsia="宋体" w:cs="宋体"/>
          <w:sz w:val="32"/>
          <w:szCs w:val="32"/>
        </w:rPr>
      </w:pPr>
      <w:r>
        <w:rPr>
          <w:rFonts w:hint="eastAsia" w:ascii="宋体" w:hAnsi="宋体" w:eastAsia="宋体" w:cs="宋体"/>
          <w:sz w:val="32"/>
          <w:szCs w:val="32"/>
        </w:rPr>
        <w:t>针对以上反思，我们提出以下优化建议：</w:t>
      </w:r>
    </w:p>
    <w:p>
      <w:pPr>
        <w:spacing w:line="360" w:lineRule="auto"/>
        <w:rPr>
          <w:rFonts w:hint="eastAsia" w:ascii="宋体" w:hAnsi="宋体" w:eastAsia="宋体" w:cs="宋体"/>
          <w:sz w:val="32"/>
          <w:szCs w:val="32"/>
        </w:rPr>
      </w:pPr>
      <w:r>
        <w:rPr>
          <w:rFonts w:hint="eastAsia" w:ascii="宋体" w:hAnsi="宋体" w:eastAsia="宋体" w:cs="宋体"/>
          <w:sz w:val="32"/>
          <w:szCs w:val="32"/>
        </w:rPr>
        <w:t>对课程内容进行深度整合，确保数学知识与专业知识能够有机融合，形成一个完整的知识体系。全面推进教学方法的改革，注重学生的主体地位和实践能力的培养，激发学生的学习兴趣和动力。加强教师的培训和提高，提高教师的教育教学水平和专业素质，确保教学质量。完善评价机制，注重过程性和成果性评价的结合，真实反映学生的学习情况和能力水平，促进学生的全面发展。</w:t>
      </w:r>
    </w:p>
    <w:p>
      <w:pPr>
        <w:spacing w:line="360" w:lineRule="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、结论和展望</w:t>
      </w:r>
    </w:p>
    <w:p>
      <w:pPr>
        <w:spacing w:line="360" w:lineRule="auto"/>
        <w:rPr>
          <w:rFonts w:hint="eastAsia" w:ascii="宋体" w:hAnsi="宋体" w:eastAsia="宋体" w:cs="宋体"/>
          <w:sz w:val="32"/>
          <w:szCs w:val="32"/>
        </w:rPr>
      </w:pPr>
      <w:r>
        <w:rPr>
          <w:rFonts w:hint="eastAsia" w:ascii="宋体" w:hAnsi="宋体" w:eastAsia="宋体" w:cs="宋体"/>
          <w:sz w:val="32"/>
          <w:szCs w:val="32"/>
        </w:rPr>
        <w:t>随着科技和社会的不断进步，高职教育在我国教育体系中的地位逐渐上升，而高职数学作为其中的核心组成部分，对于学生的职业发展和未来的就业竞争力起着至关重要的作用。本文从融合的角度出发，深入剖析了当前高职数学教育中存在的问题，同时结合实际情况，论证了融合的必要性和可行性。通过我们的研究，可以看到融合不仅可以增强数学教学的实效性和实用性，更能为学生提供一个更为全面和深入的数学学习平台，从而全面提升他们的综合素质和竞争力。</w:t>
      </w:r>
    </w:p>
    <w:p>
      <w:pPr>
        <w:spacing w:line="360" w:lineRule="auto"/>
        <w:rPr>
          <w:rFonts w:hint="eastAsia" w:ascii="宋体" w:hAnsi="宋体" w:eastAsia="宋体" w:cs="宋体"/>
          <w:sz w:val="32"/>
          <w:szCs w:val="32"/>
        </w:rPr>
      </w:pPr>
      <w:r>
        <w:rPr>
          <w:rFonts w:hint="eastAsia" w:ascii="宋体" w:hAnsi="宋体" w:eastAsia="宋体" w:cs="宋体"/>
          <w:sz w:val="32"/>
          <w:szCs w:val="32"/>
        </w:rPr>
        <w:t>当然，本研究只是一个开始，未来在这一领域还有大量的工作需要进行。例如，我们可以进一步深化对融合理论和方法的研究，开展更多的实证研究来验证融合方案的实际效果，加大教育资源的开发力度，强化师资队伍建设，以及更深入地探讨融合对学生职业发展的长期影响等。我们坚信，只有不断地研究和探索，才能确保高职数学与专业课融合方案始终与时俱进，真正为我国的高职教育事业做出持久的贡献。</w:t>
      </w:r>
    </w:p>
    <w:p>
      <w:pPr>
        <w:rPr>
          <w:rFonts w:hint="default"/>
          <w:b w:val="0"/>
          <w:i w:val="0"/>
          <w:sz w:val="24"/>
          <w:szCs w:val="24"/>
          <w:lang w:val="en-US" w:eastAsia="zh-CN"/>
        </w:rPr>
      </w:pPr>
      <w:r>
        <w:rPr>
          <w:rFonts w:hint="eastAsia" w:ascii="楷体" w:hAnsi="楷体" w:eastAsia="楷体" w:cs="楷体"/>
          <w:sz w:val="32"/>
          <w:szCs w:val="32"/>
          <w:lang w:val="en-US" w:eastAsia="zh-CN"/>
        </w:rPr>
        <w:t>参考</w:t>
      </w:r>
      <w:bookmarkStart w:id="0" w:name="_GoBack"/>
      <w:bookmarkEnd w:id="0"/>
      <w:r>
        <w:rPr>
          <w:rFonts w:hint="eastAsia" w:ascii="楷体" w:hAnsi="楷体" w:eastAsia="楷体" w:cs="楷体"/>
          <w:sz w:val="32"/>
          <w:szCs w:val="32"/>
          <w:lang w:val="en-US" w:eastAsia="zh-CN"/>
        </w:rPr>
        <w:t>文献：</w:t>
      </w:r>
    </w:p>
    <w:sectPr>
      <w:footnotePr>
        <w:numFmt w:val="decimal"/>
      </w:footnotePr>
      <w:endnotePr>
        <w:numFmt w:val="decimal"/>
      </w:endnotePr>
      <w:pgSz w:w="11906" w:h="16838"/>
      <w:pgMar w:top="1440" w:right="1440" w:bottom="144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8">
    <w:p>
      <w:pPr>
        <w:spacing w:line="240" w:lineRule="auto"/>
      </w:pPr>
    </w:p>
  </w:endnote>
  <w:endnote w:type="continuationSeparator" w:id="19">
    <w:p>
      <w:pPr>
        <w:spacing w:line="240" w:lineRule="auto"/>
      </w:pPr>
    </w:p>
  </w:endnote>
  <w:endnote w:id="0">
    <w:p>
      <w:pPr>
        <w:keepNext w:val="0"/>
        <w:keepLines w:val="0"/>
        <w:pageBreakBefore w:val="0"/>
        <w:widowControl/>
        <w:numPr>
          <w:ilvl w:val="0"/>
          <w:numId w:val="2"/>
        </w:numPr>
        <w:kinsoku/>
        <w:wordWrap w:val="0"/>
        <w:overflowPunct/>
        <w:topLinePunct/>
        <w:autoSpaceDE/>
        <w:autoSpaceDN/>
        <w:bidi w:val="0"/>
        <w:adjustRightInd/>
        <w:snapToGrid/>
        <w:ind w:firstLine="522"/>
        <w:textAlignment w:val="auto"/>
      </w:pPr>
      <w:r>
        <w:rPr>
          <w:rFonts w:hint="eastAsia" w:ascii="楷体" w:hAnsi="楷体" w:eastAsia="楷体" w:cs="楷体"/>
          <w:b w:val="0"/>
          <w:i w:val="0"/>
          <w:sz w:val="32"/>
          <w:szCs w:val="32"/>
          <w:lang w:val="en-US" w:eastAsia="zh-CN"/>
        </w:rPr>
        <w:t>樊娟华.信息化背景下的高职数学建模教育改革探索——评《数学建模与高职数学教育融合研究》[J].科技管理研究, 2023,43(9):I0007-I0008.</w:t>
      </w:r>
    </w:p>
  </w:endnote>
  <w:endnote w:id="1">
    <w:p>
      <w:pPr>
        <w:keepNext w:val="0"/>
        <w:keepLines w:val="0"/>
        <w:pageBreakBefore w:val="0"/>
        <w:widowControl/>
        <w:numPr>
          <w:ilvl w:val="0"/>
          <w:numId w:val="2"/>
        </w:numPr>
        <w:kinsoku/>
        <w:wordWrap w:val="0"/>
        <w:overflowPunct/>
        <w:topLinePunct/>
        <w:autoSpaceDE/>
        <w:autoSpaceDN/>
        <w:bidi w:val="0"/>
        <w:adjustRightInd/>
        <w:snapToGrid/>
        <w:ind w:firstLine="522"/>
        <w:textAlignment w:val="auto"/>
      </w:pPr>
      <w:r>
        <w:rPr>
          <w:rFonts w:hint="eastAsia" w:ascii="楷体" w:hAnsi="楷体" w:eastAsia="楷体" w:cs="楷体"/>
          <w:b w:val="0"/>
          <w:i w:val="0"/>
          <w:sz w:val="32"/>
          <w:szCs w:val="32"/>
          <w:lang w:val="en-US" w:eastAsia="zh-CN"/>
        </w:rPr>
        <w:t>张斌,杨苗苗.高职数学教学的问题分析与改进策略[J].北京工业职业技术学院学报,2020,19(03):93-97.</w:t>
      </w:r>
    </w:p>
  </w:endnote>
  <w:endnote w:id="2">
    <w:p>
      <w:pPr>
        <w:keepNext w:val="0"/>
        <w:keepLines w:val="0"/>
        <w:pageBreakBefore w:val="0"/>
        <w:widowControl/>
        <w:numPr>
          <w:ilvl w:val="0"/>
          <w:numId w:val="2"/>
        </w:numPr>
        <w:kinsoku/>
        <w:wordWrap w:val="0"/>
        <w:overflowPunct/>
        <w:topLinePunct/>
        <w:autoSpaceDE/>
        <w:autoSpaceDN/>
        <w:bidi w:val="0"/>
        <w:adjustRightInd/>
        <w:snapToGrid/>
        <w:ind w:firstLine="522"/>
        <w:textAlignment w:val="auto"/>
      </w:pPr>
      <w:r>
        <w:rPr>
          <w:rFonts w:hint="eastAsia" w:ascii="楷体" w:hAnsi="楷体" w:eastAsia="楷体" w:cs="楷体"/>
          <w:b w:val="0"/>
          <w:i w:val="0"/>
          <w:sz w:val="32"/>
          <w:szCs w:val="32"/>
          <w:lang w:val="en-US" w:eastAsia="zh-CN"/>
        </w:rPr>
        <w:t xml:space="preserve">郑永青.专业背景下五年制高职数学课堂教学改革的探究 [J].广东职业技术教育与研究,2023,(02):130-133. </w:t>
      </w:r>
    </w:p>
    <w:p>
      <w:pPr>
        <w:keepNext w:val="0"/>
        <w:keepLines w:val="0"/>
        <w:pageBreakBefore w:val="0"/>
        <w:widowControl/>
        <w:numPr>
          <w:ilvl w:val="0"/>
          <w:numId w:val="2"/>
        </w:numPr>
        <w:kinsoku/>
        <w:wordWrap w:val="0"/>
        <w:overflowPunct/>
        <w:topLinePunct/>
        <w:autoSpaceDE/>
        <w:autoSpaceDN/>
        <w:bidi w:val="0"/>
        <w:adjustRightInd/>
        <w:snapToGrid/>
        <w:ind w:firstLine="522"/>
        <w:textAlignment w:val="auto"/>
      </w:pPr>
      <w:r>
        <w:rPr>
          <w:rFonts w:hint="eastAsia" w:ascii="楷体" w:hAnsi="楷体" w:eastAsia="楷体" w:cs="楷体"/>
          <w:b w:val="0"/>
          <w:i w:val="0"/>
          <w:sz w:val="32"/>
          <w:szCs w:val="32"/>
          <w:lang w:val="en-US" w:eastAsia="zh-CN"/>
        </w:rPr>
        <w:t>何发生.中职院校机械工程类专业数学模型应用及其教学改革[J].铸造, 2022, 71(11):1476.</w:t>
      </w:r>
    </w:p>
    <w:p>
      <w:pPr>
        <w:keepNext w:val="0"/>
        <w:keepLines w:val="0"/>
        <w:pageBreakBefore w:val="0"/>
        <w:widowControl/>
        <w:numPr>
          <w:ilvl w:val="0"/>
          <w:numId w:val="2"/>
        </w:numPr>
        <w:kinsoku/>
        <w:wordWrap w:val="0"/>
        <w:overflowPunct/>
        <w:topLinePunct/>
        <w:autoSpaceDE/>
        <w:autoSpaceDN/>
        <w:bidi w:val="0"/>
        <w:adjustRightInd/>
        <w:snapToGrid/>
        <w:ind w:firstLine="522"/>
        <w:textAlignment w:val="auto"/>
      </w:pPr>
      <w:r>
        <w:rPr>
          <w:rFonts w:hint="eastAsia" w:ascii="楷体" w:hAnsi="楷体" w:eastAsia="楷体" w:cs="楷体"/>
          <w:b w:val="0"/>
          <w:i w:val="0"/>
          <w:sz w:val="32"/>
          <w:szCs w:val="32"/>
          <w:lang w:val="en-US" w:eastAsia="zh-CN"/>
        </w:rPr>
        <w:t>张斌,杨苗苗.高职数学教学的问题分析与改进策略[J].北京工业职业技术学院学报,2020,19(03):93-97.</w:t>
      </w:r>
    </w:p>
    <w:p>
      <w:pPr>
        <w:keepNext w:val="0"/>
        <w:keepLines w:val="0"/>
        <w:pageBreakBefore w:val="0"/>
        <w:widowControl/>
        <w:numPr>
          <w:ilvl w:val="0"/>
          <w:numId w:val="2"/>
        </w:numPr>
        <w:kinsoku/>
        <w:wordWrap w:val="0"/>
        <w:overflowPunct/>
        <w:topLinePunct/>
        <w:autoSpaceDE/>
        <w:autoSpaceDN/>
        <w:bidi w:val="0"/>
        <w:adjustRightInd/>
        <w:snapToGrid/>
        <w:ind w:firstLine="522"/>
        <w:textAlignment w:val="auto"/>
      </w:pPr>
      <w:r>
        <w:rPr>
          <w:rFonts w:hint="eastAsia" w:ascii="楷体" w:hAnsi="楷体" w:eastAsia="楷体" w:cs="楷体"/>
          <w:b w:val="0"/>
          <w:i w:val="0"/>
          <w:sz w:val="32"/>
          <w:szCs w:val="32"/>
          <w:lang w:val="en-US" w:eastAsia="zh-CN"/>
        </w:rPr>
        <w:t xml:space="preserve">聂鑫.高职院校公共基础课与专业课融合的实践研究——以高等数学为例[J].课程教育研究, 2019(24):13-14. </w:t>
      </w:r>
    </w:p>
    <w:p>
      <w:pPr>
        <w:keepNext w:val="0"/>
        <w:keepLines w:val="0"/>
        <w:pageBreakBefore w:val="0"/>
        <w:widowControl/>
        <w:numPr>
          <w:ilvl w:val="0"/>
          <w:numId w:val="2"/>
        </w:numPr>
        <w:kinsoku/>
        <w:wordWrap w:val="0"/>
        <w:overflowPunct/>
        <w:topLinePunct/>
        <w:autoSpaceDE/>
        <w:autoSpaceDN/>
        <w:bidi w:val="0"/>
        <w:adjustRightInd/>
        <w:snapToGrid/>
        <w:ind w:firstLine="522"/>
        <w:textAlignment w:val="auto"/>
      </w:pPr>
      <w:r>
        <w:rPr>
          <w:rFonts w:hint="eastAsia" w:ascii="楷体" w:hAnsi="楷体" w:eastAsia="楷体" w:cs="楷体"/>
          <w:b w:val="0"/>
          <w:i w:val="0"/>
          <w:sz w:val="32"/>
          <w:szCs w:val="32"/>
          <w:lang w:val="en-US" w:eastAsia="zh-CN"/>
        </w:rPr>
        <w:t>杨天明,陈智豪,唐孝法.高职“经济数学”教学改革的实践——以江苏农林职业技术学院为例[J].数学学习与研究,2019,(08):82-83.</w:t>
      </w:r>
    </w:p>
    <w:p>
      <w:pPr>
        <w:keepNext w:val="0"/>
        <w:keepLines w:val="0"/>
        <w:pageBreakBefore w:val="0"/>
        <w:widowControl/>
        <w:numPr>
          <w:ilvl w:val="0"/>
          <w:numId w:val="2"/>
        </w:numPr>
        <w:kinsoku/>
        <w:wordWrap w:val="0"/>
        <w:overflowPunct/>
        <w:topLinePunct/>
        <w:autoSpaceDE/>
        <w:autoSpaceDN/>
        <w:bidi w:val="0"/>
        <w:adjustRightInd/>
        <w:snapToGrid/>
        <w:ind w:firstLine="522"/>
        <w:textAlignment w:val="auto"/>
      </w:pPr>
      <w:r>
        <w:rPr>
          <w:rFonts w:hint="eastAsia" w:ascii="楷体" w:hAnsi="楷体" w:eastAsia="楷体" w:cs="楷体"/>
          <w:b w:val="0"/>
          <w:i w:val="0"/>
          <w:sz w:val="32"/>
          <w:szCs w:val="32"/>
          <w:lang w:val="en-US" w:eastAsia="zh-CN"/>
        </w:rPr>
        <w:t>初东丽.高职数学与专业融合的研究与实践[J].中国成人教育,2012(13):141-142.</w:t>
      </w:r>
    </w:p>
    <w:p>
      <w:pPr>
        <w:keepNext w:val="0"/>
        <w:keepLines w:val="0"/>
        <w:pageBreakBefore w:val="0"/>
        <w:widowControl/>
        <w:numPr>
          <w:ilvl w:val="0"/>
          <w:numId w:val="2"/>
        </w:numPr>
        <w:kinsoku/>
        <w:wordWrap w:val="0"/>
        <w:overflowPunct/>
        <w:topLinePunct/>
        <w:autoSpaceDE/>
        <w:autoSpaceDN/>
        <w:bidi w:val="0"/>
        <w:adjustRightInd/>
        <w:snapToGrid/>
        <w:ind w:firstLine="522"/>
        <w:textAlignment w:val="auto"/>
      </w:pPr>
      <w:r>
        <w:rPr>
          <w:rFonts w:hint="eastAsia" w:ascii="楷体" w:hAnsi="楷体" w:eastAsia="楷体" w:cs="楷体"/>
          <w:b w:val="0"/>
          <w:i w:val="0"/>
          <w:sz w:val="32"/>
          <w:szCs w:val="32"/>
          <w:lang w:val="en-US" w:eastAsia="zh-CN"/>
        </w:rPr>
        <w:t>章锦红.高职数学"专业需求模块"校本微型课程开发策略[J].教育与职业, 2010(30):121-122.</w:t>
      </w:r>
    </w:p>
  </w:endnote>
  <w:endnote w:id="3">
    <w:p>
      <w:pPr>
        <w:pStyle w:val="12"/>
        <w:snapToGrid w:val="0"/>
        <w:ind w:left="0" w:leftChars="0" w:firstLine="0" w:firstLineChars="0"/>
        <w:rPr>
          <w:rFonts w:hint="default"/>
          <w:lang w:val="en-US"/>
        </w:rPr>
      </w:pPr>
    </w:p>
  </w:endnote>
  <w:endnote w:id="4">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default" w:ascii="Times New Roman Bold" w:hAnsi="Times New Roman Bold" w:eastAsia="Helvetica Neue" w:cs="Times New Roman Bold"/>
          <w:b/>
          <w:bCs w:val="0"/>
          <w:i w:val="0"/>
          <w:iCs w:val="0"/>
          <w:caps w:val="0"/>
          <w:color w:val="05073B"/>
          <w:spacing w:val="0"/>
          <w:sz w:val="28"/>
          <w:szCs w:val="28"/>
        </w:rPr>
      </w:pPr>
      <w:r>
        <w:rPr>
          <w:rFonts w:hint="default" w:ascii="Times New Roman Bold" w:hAnsi="Times New Roman Bold" w:eastAsia="Helvetica Neue" w:cs="Times New Roman Bold"/>
          <w:b/>
          <w:bCs w:val="0"/>
          <w:i w:val="0"/>
          <w:iCs w:val="0"/>
          <w:caps w:val="0"/>
          <w:color w:val="05073B"/>
          <w:spacing w:val="0"/>
          <w:sz w:val="28"/>
          <w:szCs w:val="28"/>
          <w:bdr w:val="none" w:color="auto" w:sz="0" w:space="0"/>
        </w:rPr>
        <w:t>Design and Implementation of Integration Schemes for Vocational Mathematics and Professional Courses</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60" w:lineRule="auto"/>
        <w:ind w:left="0" w:right="0" w:firstLine="0"/>
        <w:jc w:val="center"/>
        <w:rPr>
          <w:rFonts w:hint="default" w:ascii="Times New Roman Regular" w:hAnsi="Times New Roman Regular" w:eastAsia="Helvetica Neue" w:cs="Times New Roman Regular"/>
          <w:i w:val="0"/>
          <w:iCs w:val="0"/>
          <w:caps w:val="0"/>
          <w:color w:val="05073B"/>
          <w:spacing w:val="0"/>
          <w:sz w:val="24"/>
          <w:szCs w:val="24"/>
          <w:bdr w:val="none" w:color="auto" w:sz="0" w:space="0"/>
        </w:rPr>
      </w:pPr>
      <w:r>
        <w:rPr>
          <w:rFonts w:hint="default" w:ascii="Times New Roman Regular" w:hAnsi="Times New Roman Regular" w:eastAsia="Helvetica Neue" w:cs="Times New Roman Regular"/>
          <w:i w:val="0"/>
          <w:iCs w:val="0"/>
          <w:caps w:val="0"/>
          <w:color w:val="05073B"/>
          <w:spacing w:val="0"/>
          <w:sz w:val="24"/>
          <w:szCs w:val="24"/>
          <w:bdr w:val="none" w:color="auto" w:sz="0" w:space="0"/>
        </w:rPr>
        <w:t>L</w:t>
      </w:r>
      <w:r>
        <w:rPr>
          <w:rFonts w:hint="eastAsia" w:ascii="Times New Roman Regular" w:hAnsi="Times New Roman Regular" w:eastAsia="宋体" w:cs="Times New Roman Regular"/>
          <w:i w:val="0"/>
          <w:iCs w:val="0"/>
          <w:caps w:val="0"/>
          <w:color w:val="05073B"/>
          <w:spacing w:val="0"/>
          <w:sz w:val="24"/>
          <w:szCs w:val="24"/>
          <w:bdr w:val="none" w:color="auto" w:sz="0" w:space="0"/>
          <w:lang w:val="en-US" w:eastAsia="zh-CN"/>
        </w:rPr>
        <w:t>I A</w:t>
      </w:r>
      <w:r>
        <w:rPr>
          <w:rFonts w:hint="default" w:ascii="Times New Roman Regular" w:hAnsi="Times New Roman Regular" w:eastAsia="Helvetica Neue" w:cs="Times New Roman Regular"/>
          <w:i w:val="0"/>
          <w:iCs w:val="0"/>
          <w:caps w:val="0"/>
          <w:color w:val="05073B"/>
          <w:spacing w:val="0"/>
          <w:sz w:val="24"/>
          <w:szCs w:val="24"/>
          <w:bdr w:val="none" w:color="auto" w:sz="0" w:space="0"/>
        </w:rPr>
        <w:t>n</w:t>
      </w:r>
      <w:r>
        <w:rPr>
          <w:rFonts w:hint="eastAsia" w:ascii="Times New Roman Regular" w:hAnsi="Times New Roman Regular" w:eastAsia="宋体" w:cs="Times New Roman Regular"/>
          <w:i w:val="0"/>
          <w:iCs w:val="0"/>
          <w:caps w:val="0"/>
          <w:color w:val="05073B"/>
          <w:spacing w:val="0"/>
          <w:sz w:val="24"/>
          <w:szCs w:val="24"/>
          <w:bdr w:val="none" w:color="auto" w:sz="0" w:space="0"/>
          <w:lang w:val="en-US" w:eastAsia="zh-CN"/>
        </w:rPr>
        <w:t>-</w:t>
      </w:r>
      <w:r>
        <w:rPr>
          <w:rFonts w:hint="default" w:ascii="Times New Roman Regular" w:hAnsi="Times New Roman Regular" w:eastAsia="Helvetica Neue" w:cs="Times New Roman Regular"/>
          <w:i w:val="0"/>
          <w:iCs w:val="0"/>
          <w:caps w:val="0"/>
          <w:color w:val="05073B"/>
          <w:spacing w:val="0"/>
          <w:sz w:val="24"/>
          <w:szCs w:val="24"/>
          <w:bdr w:val="none" w:color="auto" w:sz="0" w:space="0"/>
        </w:rPr>
        <w:t>nan</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60" w:lineRule="auto"/>
        <w:ind w:left="0" w:right="0" w:firstLine="0"/>
        <w:jc w:val="center"/>
        <w:rPr>
          <w:rFonts w:hint="eastAsia" w:ascii="Times New Roman Regular" w:hAnsi="Times New Roman Regular" w:eastAsia="宋体" w:cs="Times New Roman Regular"/>
          <w:i w:val="0"/>
          <w:iCs w:val="0"/>
          <w:caps w:val="0"/>
          <w:color w:val="05073B"/>
          <w:spacing w:val="0"/>
          <w:sz w:val="24"/>
          <w:szCs w:val="24"/>
          <w:lang w:val="en-US" w:eastAsia="zh-CN"/>
        </w:rPr>
      </w:pPr>
      <w:r>
        <w:rPr>
          <w:rFonts w:hint="eastAsia" w:ascii="Times New Roman Regular" w:hAnsi="Times New Roman Regular" w:eastAsia="宋体" w:cs="Times New Roman Regular"/>
          <w:i w:val="0"/>
          <w:iCs w:val="0"/>
          <w:caps w:val="0"/>
          <w:color w:val="05073B"/>
          <w:spacing w:val="0"/>
          <w:sz w:val="24"/>
          <w:szCs w:val="24"/>
          <w:bdr w:val="none" w:color="auto" w:sz="0" w:space="0"/>
          <w:lang w:val="en-US" w:eastAsia="zh-CN"/>
        </w:rPr>
        <w:t>(</w:t>
      </w:r>
      <w:r>
        <w:rPr>
          <w:rFonts w:hint="default" w:ascii="Times New Roman Regular" w:hAnsi="Times New Roman Regular" w:eastAsia="Helvetica Neue" w:cs="Times New Roman Regular"/>
          <w:i w:val="0"/>
          <w:iCs w:val="0"/>
          <w:caps w:val="0"/>
          <w:color w:val="05073B"/>
          <w:spacing w:val="0"/>
          <w:sz w:val="24"/>
          <w:szCs w:val="24"/>
        </w:rPr>
        <w:t>Basic Education College (Physical Education Department)</w:t>
      </w:r>
      <w:r>
        <w:rPr>
          <w:rFonts w:hint="eastAsia" w:ascii="Times New Roman Regular" w:hAnsi="Times New Roman Regular" w:eastAsia="宋体" w:cs="Times New Roman Regular"/>
          <w:i w:val="0"/>
          <w:iCs w:val="0"/>
          <w:caps w:val="0"/>
          <w:color w:val="05073B"/>
          <w:spacing w:val="0"/>
          <w:sz w:val="24"/>
          <w:szCs w:val="24"/>
          <w:lang w:val="en-US" w:eastAsia="zh-CN"/>
        </w:rPr>
        <w:t xml:space="preserve">, </w:t>
      </w:r>
      <w:r>
        <w:rPr>
          <w:rFonts w:hint="default" w:ascii="Times New Roman Regular" w:hAnsi="Times New Roman Regular" w:eastAsia="Helvetica Neue" w:cs="Times New Roman Regular"/>
          <w:i w:val="0"/>
          <w:iCs w:val="0"/>
          <w:caps w:val="0"/>
          <w:color w:val="05073B"/>
          <w:spacing w:val="0"/>
          <w:sz w:val="24"/>
          <w:szCs w:val="24"/>
          <w:bdr w:val="none" w:color="auto" w:sz="0" w:space="0"/>
        </w:rPr>
        <w:t>Beijing College of Finance and Commerce , Beijing 101101, China</w:t>
      </w:r>
      <w:r>
        <w:rPr>
          <w:rFonts w:hint="eastAsia" w:ascii="Times New Roman Regular" w:hAnsi="Times New Roman Regular" w:eastAsia="宋体" w:cs="Times New Roman Regular"/>
          <w:i w:val="0"/>
          <w:iCs w:val="0"/>
          <w:caps w:val="0"/>
          <w:color w:val="05073B"/>
          <w:spacing w:val="0"/>
          <w:sz w:val="24"/>
          <w:szCs w:val="24"/>
          <w:bdr w:val="none" w:color="auto" w:sz="0" w:space="0"/>
          <w:lang w:val="en-US" w:eastAsia="zh-CN"/>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60" w:lineRule="auto"/>
        <w:ind w:left="0" w:right="0" w:firstLine="0"/>
        <w:rPr>
          <w:rFonts w:hint="default" w:ascii="Times New Roman Regular" w:hAnsi="Times New Roman Regular" w:eastAsia="Helvetica Neue" w:cs="Times New Roman Regular"/>
          <w:i w:val="0"/>
          <w:iCs w:val="0"/>
          <w:caps w:val="0"/>
          <w:color w:val="05073B"/>
          <w:spacing w:val="0"/>
          <w:sz w:val="24"/>
          <w:szCs w:val="24"/>
          <w:bdr w:val="none" w:color="auto" w:sz="0" w:space="0"/>
        </w:rPr>
      </w:pPr>
      <w:r>
        <w:rPr>
          <w:rFonts w:hint="default" w:ascii="Times New Roman Regular" w:hAnsi="Times New Roman Regular" w:eastAsia="Helvetica Neue" w:cs="Times New Roman Regular"/>
          <w:i w:val="0"/>
          <w:iCs w:val="0"/>
          <w:caps w:val="0"/>
          <w:color w:val="05073B"/>
          <w:spacing w:val="0"/>
          <w:sz w:val="24"/>
          <w:szCs w:val="24"/>
          <w:bdr w:val="none" w:color="auto" w:sz="0" w:space="0"/>
        </w:rPr>
        <w:t>Abstract: This study systematically reviewed the current situation of the integration of mathematics and professional courses in higher vocational education, and deeply explored the existing problems. On this basis, a comprehensive and specific integration plan was proposed, covering key aspects such as goal setting, content integration, teaching method innovation, clear implementation steps, and improvement of evaluation mechanisms. In order to more intuitively demonstrate the practical application effect of the integration plan, we took the finance and economics major as an example to elaborate on the design and implementation process of the plan. After a period of practice, the plan showed significant effects in enhancing students' learning interest, improving their professional literacy and practical ability, and bringing positive impacts to the overall teaching quality. This research not only provides practical suggestions and references for current higher vocational education practitioners, but also opens up new exploration space and methodological perspectives for subsequent researchers, laying a solid research foundation for promoting the sustainable development of deep integration between higher vocational mathematics and professional courses.</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60" w:lineRule="auto"/>
        <w:ind w:left="0" w:right="0" w:firstLine="0"/>
        <w:rPr>
          <w:rFonts w:hint="default" w:ascii="Times New Roman Regular" w:hAnsi="Times New Roman Regular" w:eastAsia="Helvetica Neue" w:cs="Times New Roman Regular"/>
          <w:i w:val="0"/>
          <w:iCs w:val="0"/>
          <w:caps w:val="0"/>
          <w:color w:val="05073B"/>
          <w:spacing w:val="0"/>
          <w:sz w:val="30"/>
          <w:szCs w:val="30"/>
        </w:rPr>
      </w:pPr>
      <w:r>
        <w:rPr>
          <w:rFonts w:hint="default" w:ascii="Times New Roman Regular" w:hAnsi="Times New Roman Regular" w:eastAsia="Helvetica Neue" w:cs="Times New Roman Regular"/>
          <w:i w:val="0"/>
          <w:iCs w:val="0"/>
          <w:caps w:val="0"/>
          <w:color w:val="05073B"/>
          <w:spacing w:val="0"/>
          <w:sz w:val="24"/>
          <w:szCs w:val="24"/>
          <w:bdr w:val="none" w:color="auto" w:sz="0" w:space="0"/>
        </w:rPr>
        <w:t xml:space="preserve">Key words: </w:t>
      </w:r>
      <w:r>
        <w:rPr>
          <w:rFonts w:hint="eastAsia" w:ascii="Times New Roman Regular" w:hAnsi="Times New Roman Regular" w:eastAsia="宋体" w:cs="Times New Roman Regular"/>
          <w:i w:val="0"/>
          <w:iCs w:val="0"/>
          <w:caps w:val="0"/>
          <w:color w:val="05073B"/>
          <w:spacing w:val="0"/>
          <w:sz w:val="24"/>
          <w:szCs w:val="24"/>
          <w:bdr w:val="none" w:color="auto" w:sz="0" w:space="0"/>
          <w:lang w:val="en-US" w:eastAsia="zh-CN"/>
        </w:rPr>
        <w:t>v</w:t>
      </w:r>
      <w:r>
        <w:rPr>
          <w:rFonts w:hint="default" w:ascii="Times New Roman Regular" w:hAnsi="Times New Roman Regular" w:eastAsia="Helvetica Neue" w:cs="Times New Roman Regular"/>
          <w:i w:val="0"/>
          <w:iCs w:val="0"/>
          <w:caps w:val="0"/>
          <w:color w:val="05073B"/>
          <w:spacing w:val="0"/>
          <w:sz w:val="24"/>
          <w:szCs w:val="24"/>
          <w:bdr w:val="none" w:color="auto" w:sz="0" w:space="0"/>
        </w:rPr>
        <w:t xml:space="preserve">ocational </w:t>
      </w:r>
      <w:r>
        <w:rPr>
          <w:rFonts w:hint="eastAsia" w:ascii="Times New Roman Regular" w:hAnsi="Times New Roman Regular" w:eastAsia="宋体" w:cs="Times New Roman Regular"/>
          <w:i w:val="0"/>
          <w:iCs w:val="0"/>
          <w:caps w:val="0"/>
          <w:color w:val="05073B"/>
          <w:spacing w:val="0"/>
          <w:sz w:val="24"/>
          <w:szCs w:val="24"/>
          <w:bdr w:val="none" w:color="auto" w:sz="0" w:space="0"/>
          <w:lang w:val="en-US" w:eastAsia="zh-CN"/>
        </w:rPr>
        <w:t>m</w:t>
      </w:r>
      <w:r>
        <w:rPr>
          <w:rFonts w:hint="default" w:ascii="Times New Roman Regular" w:hAnsi="Times New Roman Regular" w:eastAsia="Helvetica Neue" w:cs="Times New Roman Regular"/>
          <w:i w:val="0"/>
          <w:iCs w:val="0"/>
          <w:caps w:val="0"/>
          <w:color w:val="05073B"/>
          <w:spacing w:val="0"/>
          <w:sz w:val="24"/>
          <w:szCs w:val="24"/>
          <w:bdr w:val="none" w:color="auto" w:sz="0" w:space="0"/>
        </w:rPr>
        <w:t xml:space="preserve">athematics; </w:t>
      </w:r>
      <w:r>
        <w:rPr>
          <w:rFonts w:hint="eastAsia" w:ascii="Times New Roman Regular" w:hAnsi="Times New Roman Regular" w:eastAsia="宋体" w:cs="Times New Roman Regular"/>
          <w:i w:val="0"/>
          <w:iCs w:val="0"/>
          <w:caps w:val="0"/>
          <w:color w:val="05073B"/>
          <w:spacing w:val="0"/>
          <w:sz w:val="24"/>
          <w:szCs w:val="24"/>
          <w:bdr w:val="none" w:color="auto" w:sz="0" w:space="0"/>
          <w:lang w:val="en-US" w:eastAsia="zh-CN"/>
        </w:rPr>
        <w:t>p</w:t>
      </w:r>
      <w:r>
        <w:rPr>
          <w:rFonts w:hint="default" w:ascii="Times New Roman Regular" w:hAnsi="Times New Roman Regular" w:eastAsia="Helvetica Neue" w:cs="Times New Roman Regular"/>
          <w:i w:val="0"/>
          <w:iCs w:val="0"/>
          <w:caps w:val="0"/>
          <w:color w:val="05073B"/>
          <w:spacing w:val="0"/>
          <w:sz w:val="24"/>
          <w:szCs w:val="24"/>
          <w:bdr w:val="none" w:color="auto" w:sz="0" w:space="0"/>
        </w:rPr>
        <w:t xml:space="preserve">rofessional </w:t>
      </w:r>
      <w:r>
        <w:rPr>
          <w:rFonts w:hint="eastAsia" w:ascii="Times New Roman Regular" w:hAnsi="Times New Roman Regular" w:eastAsia="宋体" w:cs="Times New Roman Regular"/>
          <w:i w:val="0"/>
          <w:iCs w:val="0"/>
          <w:caps w:val="0"/>
          <w:color w:val="05073B"/>
          <w:spacing w:val="0"/>
          <w:sz w:val="24"/>
          <w:szCs w:val="24"/>
          <w:bdr w:val="none" w:color="auto" w:sz="0" w:space="0"/>
          <w:lang w:val="en-US" w:eastAsia="zh-CN"/>
        </w:rPr>
        <w:t>i</w:t>
      </w:r>
      <w:r>
        <w:rPr>
          <w:rFonts w:hint="default" w:ascii="Times New Roman Regular" w:hAnsi="Times New Roman Regular" w:eastAsia="Helvetica Neue" w:cs="Times New Roman Regular"/>
          <w:i w:val="0"/>
          <w:iCs w:val="0"/>
          <w:caps w:val="0"/>
          <w:color w:val="05073B"/>
          <w:spacing w:val="0"/>
          <w:sz w:val="24"/>
          <w:szCs w:val="24"/>
          <w:bdr w:val="none" w:color="auto" w:sz="0" w:space="0"/>
        </w:rPr>
        <w:t xml:space="preserve">ntegration; </w:t>
      </w:r>
      <w:r>
        <w:rPr>
          <w:rFonts w:hint="eastAsia" w:ascii="Times New Roman Regular" w:hAnsi="Times New Roman Regular" w:eastAsia="宋体" w:cs="Times New Roman Regular"/>
          <w:i w:val="0"/>
          <w:iCs w:val="0"/>
          <w:caps w:val="0"/>
          <w:color w:val="05073B"/>
          <w:spacing w:val="0"/>
          <w:sz w:val="24"/>
          <w:szCs w:val="24"/>
          <w:bdr w:val="none" w:color="auto" w:sz="0" w:space="0"/>
          <w:lang w:val="en-US" w:eastAsia="zh-CN"/>
        </w:rPr>
        <w:t>s</w:t>
      </w:r>
      <w:r>
        <w:rPr>
          <w:rFonts w:hint="default" w:ascii="Times New Roman Regular" w:hAnsi="Times New Roman Regular" w:eastAsia="Helvetica Neue" w:cs="Times New Roman Regular"/>
          <w:i w:val="0"/>
          <w:iCs w:val="0"/>
          <w:caps w:val="0"/>
          <w:color w:val="05073B"/>
          <w:spacing w:val="0"/>
          <w:sz w:val="24"/>
          <w:szCs w:val="24"/>
          <w:bdr w:val="none" w:color="auto" w:sz="0" w:space="0"/>
        </w:rPr>
        <w:t xml:space="preserve">cheme </w:t>
      </w:r>
      <w:r>
        <w:rPr>
          <w:rFonts w:hint="eastAsia" w:ascii="Times New Roman Regular" w:hAnsi="Times New Roman Regular" w:eastAsia="宋体" w:cs="Times New Roman Regular"/>
          <w:i w:val="0"/>
          <w:iCs w:val="0"/>
          <w:caps w:val="0"/>
          <w:color w:val="05073B"/>
          <w:spacing w:val="0"/>
          <w:sz w:val="24"/>
          <w:szCs w:val="24"/>
          <w:bdr w:val="none" w:color="auto" w:sz="0" w:space="0"/>
          <w:lang w:val="en-US" w:eastAsia="zh-CN"/>
        </w:rPr>
        <w:t>d</w:t>
      </w:r>
      <w:r>
        <w:rPr>
          <w:rFonts w:hint="default" w:ascii="Times New Roman Regular" w:hAnsi="Times New Roman Regular" w:eastAsia="Helvetica Neue" w:cs="Times New Roman Regular"/>
          <w:i w:val="0"/>
          <w:iCs w:val="0"/>
          <w:caps w:val="0"/>
          <w:color w:val="05073B"/>
          <w:spacing w:val="0"/>
          <w:sz w:val="24"/>
          <w:szCs w:val="24"/>
          <w:bdr w:val="none" w:color="auto" w:sz="0" w:space="0"/>
        </w:rPr>
        <w:t>esign</w:t>
      </w:r>
    </w:p>
    <w:p>
      <w:pPr>
        <w:keepNext w:val="0"/>
        <w:keepLines w:val="0"/>
        <w:pageBreakBefore w:val="0"/>
        <w:widowControl/>
        <w:kinsoku/>
        <w:wordWrap w:val="0"/>
        <w:overflowPunct/>
        <w:topLinePunct/>
        <w:autoSpaceDE/>
        <w:autoSpaceDN/>
        <w:bidi w:val="0"/>
        <w:adjustRightInd/>
        <w:snapToGrid/>
        <w:ind w:left="0" w:leftChars="0" w:firstLine="0" w:firstLineChars="0"/>
        <w:textAlignment w:val="auto"/>
      </w:pPr>
    </w:p>
  </w:endnote>
  <w:endnote w:id="5">
    <w:p>
      <w:pPr>
        <w:keepNext w:val="0"/>
        <w:keepLines w:val="0"/>
        <w:pageBreakBefore w:val="0"/>
        <w:widowControl/>
        <w:kinsoku/>
        <w:wordWrap w:val="0"/>
        <w:overflowPunct/>
        <w:topLinePunct/>
        <w:autoSpaceDE/>
        <w:autoSpaceDN/>
        <w:bidi w:val="0"/>
        <w:adjustRightInd/>
        <w:snapToGrid/>
        <w:ind w:left="0" w:leftChars="0" w:firstLine="0" w:firstLineChars="0"/>
        <w:textAlignment w:val="auto"/>
      </w:pPr>
    </w:p>
  </w:endnote>
  <w:endnote w:id="6">
    <w:p>
      <w:pPr>
        <w:keepNext w:val="0"/>
        <w:keepLines w:val="0"/>
        <w:widowControl/>
        <w:suppressLineNumbers w:val="0"/>
        <w:ind w:left="0" w:leftChars="0" w:firstLine="0" w:firstLineChars="0"/>
        <w:jc w:val="left"/>
      </w:pPr>
    </w:p>
  </w:endnote>
  <w:endnote w:id="7">
    <w:p>
      <w:pPr>
        <w:keepNext w:val="0"/>
        <w:keepLines w:val="0"/>
        <w:widowControl/>
        <w:suppressLineNumbers w:val="0"/>
        <w:ind w:left="0" w:leftChars="0" w:firstLine="0" w:firstLineChars="0"/>
        <w:jc w:val="left"/>
      </w:pPr>
    </w:p>
  </w:endnote>
  <w:endnote w:id="8">
    <w:p>
      <w:pPr>
        <w:keepNext w:val="0"/>
        <w:keepLines w:val="0"/>
        <w:pageBreakBefore w:val="0"/>
        <w:widowControl/>
        <w:kinsoku/>
        <w:wordWrap w:val="0"/>
        <w:overflowPunct/>
        <w:topLinePunct/>
        <w:autoSpaceDE/>
        <w:autoSpaceDN/>
        <w:bidi w:val="0"/>
        <w:adjustRightInd/>
        <w:snapToGrid/>
        <w:ind w:left="0" w:leftChars="0" w:firstLine="0" w:firstLineChars="0"/>
        <w:textAlignment w:val="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FangSong">
    <w:altName w:val="方正仿宋_GBK"/>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Times New Roman Regular">
    <w:panose1 w:val="02020603050405020304"/>
    <w:charset w:val="00"/>
    <w:family w:val="auto"/>
    <w:pitch w:val="default"/>
    <w:sig w:usb0="E0002AEF" w:usb1="C0007841" w:usb2="00000009" w:usb3="00000000" w:csb0="400001FF" w:csb1="FFFF0000"/>
  </w:font>
  <w:font w:name="Heiti TC Light">
    <w:panose1 w:val="00000000000000000000"/>
    <w:charset w:val="86"/>
    <w:family w:val="auto"/>
    <w:pitch w:val="default"/>
    <w:sig w:usb0="8000002F" w:usb1="0800004A" w:usb2="00000000" w:usb3="00000000" w:csb0="203E0000" w:csb1="00000000"/>
  </w:font>
  <w:font w:name="华文宋体">
    <w:panose1 w:val="02010600040101010101"/>
    <w:charset w:val="86"/>
    <w:family w:val="auto"/>
    <w:pitch w:val="default"/>
    <w:sig w:usb0="80000287" w:usb1="280F3C52" w:usb2="00000016" w:usb3="00000000" w:csb0="0004001F" w:csb1="0000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iragino Kaku Gothic Pro W3">
    <w:panose1 w:val="020B0300000000000000"/>
    <w:charset w:val="80"/>
    <w:family w:val="auto"/>
    <w:pitch w:val="default"/>
    <w:sig w:usb0="E00002FF" w:usb1="7AE7FFFF" w:usb2="00000012" w:usb3="00000000" w:csb0="0002000D" w:csb1="00000000"/>
  </w:font>
  <w:font w:name="方正黑体简体">
    <w:panose1 w:val="02000000000000000000"/>
    <w:charset w:val="86"/>
    <w:family w:val="auto"/>
    <w:pitch w:val="default"/>
    <w:sig w:usb0="A00002BF" w:usb1="184F6CFA" w:usb2="00000012" w:usb3="00000000" w:csb0="00040001" w:csb1="00000000"/>
  </w:font>
  <w:font w:name="Times New Roman Bold">
    <w:panose1 w:val="02020603050405020304"/>
    <w:charset w:val="00"/>
    <w:family w:val="auto"/>
    <w:pitch w:val="default"/>
    <w:sig w:usb0="E0002AEF" w:usb1="C0007841" w:usb2="00000009" w:usb3="00000000" w:csb0="400001FF" w:csb1="FFFF0000"/>
  </w:font>
  <w:font w:name="Lucida Grande">
    <w:panose1 w:val="020B0600040502020204"/>
    <w:charset w:val="00"/>
    <w:family w:val="auto"/>
    <w:pitch w:val="default"/>
    <w:sig w:usb0="E1000AEF" w:usb1="5000A1FF" w:usb2="00000000" w:usb3="00000000" w:csb0="200001BF" w:csb1="4F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p>
  </w:footnote>
  <w:footnote w:type="continuationSeparator" w:id="3">
    <w:p>
      <w:pPr>
        <w:spacing w:line="360" w:lineRule="auto"/>
      </w:pPr>
    </w:p>
  </w:footnote>
  <w:footnote w:id="0">
    <w:p>
      <w:pPr>
        <w:pStyle w:val="13"/>
        <w:numPr>
          <w:ilvl w:val="0"/>
          <w:numId w:val="1"/>
        </w:numPr>
        <w:snapToGrid w:val="0"/>
        <w:rPr>
          <w:rFonts w:hint="default" w:eastAsia="仿宋, FangSong"/>
          <w:lang w:val="en-US" w:eastAsia="zh-CN"/>
        </w:rPr>
      </w:pPr>
      <w:r>
        <w:rPr>
          <w:rFonts w:hint="eastAsia"/>
          <w:lang w:val="en-US" w:eastAsia="zh-CN"/>
        </w:rPr>
        <w:t>李安楠（1981-），女，山东聊城人，北京财贸职业学院基础教育学院（体育部），讲师，研究方向数学职业教育。</w:t>
      </w:r>
    </w:p>
    <w:p>
      <w:pPr>
        <w:pStyle w:val="13"/>
        <w:numPr>
          <w:ilvl w:val="0"/>
          <w:numId w:val="1"/>
        </w:numPr>
        <w:snapToGrid w:val="0"/>
        <w:rPr>
          <w:rFonts w:hint="default" w:eastAsia="仿宋, FangSong"/>
          <w:lang w:val="en-US" w:eastAsia="zh-CN"/>
        </w:rPr>
      </w:pPr>
      <w:r>
        <w:rPr>
          <w:rFonts w:hint="eastAsia"/>
          <w:lang w:val="en-US" w:eastAsia="zh-CN"/>
        </w:rPr>
        <w:t>[校级课题]：2023年校级课题，多层次、可重构的高职数学融合式课程体系研究（BJCZY2022C14）.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20D5C"/>
    <w:multiLevelType w:val="singleLevel"/>
    <w:tmpl w:val="DFF20D5C"/>
    <w:lvl w:ilvl="0" w:tentative="0">
      <w:start w:val="1"/>
      <w:numFmt w:val="decimal"/>
      <w:suff w:val="space"/>
      <w:lvlText w:val="%1."/>
      <w:lvlJc w:val="left"/>
    </w:lvl>
  </w:abstractNum>
  <w:abstractNum w:abstractNumId="1">
    <w:nsid w:val="DFFBF6CD"/>
    <w:multiLevelType w:val="singleLevel"/>
    <w:tmpl w:val="DFFBF6CD"/>
    <w:lvl w:ilvl="0" w:tentative="0">
      <w:start w:val="1"/>
      <w:numFmt w:val="chineseCounting"/>
      <w:suff w:val="nothing"/>
      <w:lvlText w:val="%1、"/>
      <w:lvlJc w:val="left"/>
      <w:pPr>
        <w:ind w:left="640" w:leftChars="0" w:firstLine="0" w:firstLineChars="0"/>
      </w:pPr>
      <w:rPr>
        <w:rFonts w:hint="eastAsia"/>
      </w:rPr>
    </w:lvl>
  </w:abstractNum>
  <w:abstractNum w:abstractNumId="2">
    <w:nsid w:val="FB6D92CC"/>
    <w:multiLevelType w:val="singleLevel"/>
    <w:tmpl w:val="FB6D92CC"/>
    <w:lvl w:ilvl="0" w:tentative="0">
      <w:start w:val="1"/>
      <w:numFmt w:val="decimal"/>
      <w:suff w:val="space"/>
      <w:lvlText w:val="%1."/>
      <w:lvlJc w:val="left"/>
    </w:lvl>
  </w:abstractNum>
  <w:abstractNum w:abstractNumId="3">
    <w:nsid w:val="FEBD4217"/>
    <w:multiLevelType w:val="singleLevel"/>
    <w:tmpl w:val="FEBD4217"/>
    <w:lvl w:ilvl="0" w:tentative="0">
      <w:start w:val="1"/>
      <w:numFmt w:val="decimal"/>
      <w:suff w:val="space"/>
      <w:lvlText w:val="%1."/>
      <w:lvlJc w:val="left"/>
    </w:lvl>
  </w:abstractNum>
  <w:abstractNum w:abstractNumId="4">
    <w:nsid w:val="7BEA547E"/>
    <w:multiLevelType w:val="singleLevel"/>
    <w:tmpl w:val="7BEA547E"/>
    <w:lvl w:ilvl="0" w:tentative="0">
      <w:start w:val="1"/>
      <w:numFmt w:val="decimal"/>
      <w:suff w:val="space"/>
      <w:lvlText w:val="[%1]"/>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numFmt w:val="decimal"/>
    <w:endnote w:id="18"/>
    <w:endnote w:id="19"/>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4C"/>
    <w:rsid w:val="001B1916"/>
    <w:rsid w:val="003013BD"/>
    <w:rsid w:val="00544004"/>
    <w:rsid w:val="00A843D7"/>
    <w:rsid w:val="00C14B4C"/>
    <w:rsid w:val="00F05EF8"/>
    <w:rsid w:val="07FABD93"/>
    <w:rsid w:val="37BF6C64"/>
    <w:rsid w:val="3FF73A6E"/>
    <w:rsid w:val="3FFD0910"/>
    <w:rsid w:val="613CDB50"/>
    <w:rsid w:val="768778FD"/>
    <w:rsid w:val="7D51ADE8"/>
    <w:rsid w:val="7DFDEBA7"/>
    <w:rsid w:val="7EEFAB61"/>
    <w:rsid w:val="7FF9AA62"/>
    <w:rsid w:val="BFFE1879"/>
    <w:rsid w:val="C8EF7704"/>
    <w:rsid w:val="DEFFD6F5"/>
    <w:rsid w:val="E7FE4481"/>
    <w:rsid w:val="EFE5A034"/>
    <w:rsid w:val="EFEE8625"/>
    <w:rsid w:val="FF7F2214"/>
    <w:rsid w:val="FF98669B"/>
    <w:rsid w:val="FFBB3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360" w:lineRule="auto"/>
      <w:ind w:firstLine="520"/>
      <w:jc w:val="both"/>
    </w:pPr>
    <w:rPr>
      <w:rFonts w:hint="eastAsia" w:ascii="仿宋, FangSong" w:eastAsia="仿宋, FangSong" w:hAnsiTheme="minorHAnsi" w:cstheme="minorBidi"/>
      <w:bCs/>
      <w:iCs/>
      <w:color w:val="auto"/>
      <w:kern w:val="2"/>
      <w:sz w:val="28"/>
      <w:szCs w:val="28"/>
      <w:highlight w:val="none"/>
      <w:lang w:val="en-US" w:eastAsia="zh-CN" w:bidi="ar-SA"/>
    </w:rPr>
  </w:style>
  <w:style w:type="paragraph" w:styleId="2">
    <w:name w:val="heading 1"/>
    <w:basedOn w:val="1"/>
    <w:next w:val="1"/>
    <w:link w:val="23"/>
    <w:qFormat/>
    <w:uiPriority w:val="0"/>
    <w:pPr>
      <w:keepNext/>
      <w:keepLines/>
      <w:outlineLvl w:val="0"/>
    </w:pPr>
    <w:rPr>
      <w:b/>
    </w:rPr>
  </w:style>
  <w:style w:type="paragraph" w:styleId="3">
    <w:name w:val="heading 2"/>
    <w:basedOn w:val="1"/>
    <w:next w:val="1"/>
    <w:link w:val="25"/>
    <w:unhideWhenUsed/>
    <w:qFormat/>
    <w:uiPriority w:val="0"/>
    <w:pPr>
      <w:keepNext/>
      <w:keepLines/>
      <w:outlineLvl w:val="1"/>
    </w:pPr>
    <w:rPr>
      <w:rFonts w:asciiTheme="majorHAnsi" w:hAnsiTheme="majorHAnsi" w:eastAsiaTheme="majorEastAsia" w:cstheme="majorBidi"/>
      <w:b/>
    </w:rPr>
  </w:style>
  <w:style w:type="paragraph" w:styleId="4">
    <w:name w:val="heading 3"/>
    <w:basedOn w:val="1"/>
    <w:next w:val="1"/>
    <w:link w:val="26"/>
    <w:unhideWhenUsed/>
    <w:qFormat/>
    <w:uiPriority w:val="0"/>
    <w:pPr>
      <w:keepNext/>
      <w:keepLines/>
      <w:outlineLvl w:val="2"/>
    </w:pPr>
    <w:rPr>
      <w:b/>
    </w:rPr>
  </w:style>
  <w:style w:type="paragraph" w:styleId="5">
    <w:name w:val="heading 4"/>
    <w:basedOn w:val="1"/>
    <w:next w:val="1"/>
    <w:unhideWhenUsed/>
    <w:qFormat/>
    <w:uiPriority w:val="0"/>
    <w:pPr>
      <w:keepNext/>
      <w:keepLines/>
      <w:outlineLvl w:val="3"/>
    </w:pPr>
    <w:rPr>
      <w:rFonts w:asciiTheme="majorHAnsi" w:hAnsiTheme="majorHAnsi" w:eastAsiaTheme="majorEastAsia" w:cstheme="majorBidi"/>
      <w:b/>
    </w:rPr>
  </w:style>
  <w:style w:type="paragraph" w:styleId="6">
    <w:name w:val="heading 5"/>
    <w:basedOn w:val="1"/>
    <w:next w:val="1"/>
    <w:unhideWhenUsed/>
    <w:qFormat/>
    <w:uiPriority w:val="0"/>
    <w:pPr>
      <w:keepNext/>
      <w:keepLines/>
      <w:outlineLvl w:val="4"/>
    </w:pPr>
    <w:rPr>
      <w:b/>
    </w:rPr>
  </w:style>
  <w:style w:type="paragraph" w:styleId="7">
    <w:name w:val="heading 6"/>
    <w:basedOn w:val="1"/>
    <w:next w:val="1"/>
    <w:unhideWhenUsed/>
    <w:qFormat/>
    <w:uiPriority w:val="0"/>
    <w:pPr>
      <w:keepNext/>
      <w:keepLines/>
      <w:outlineLvl w:val="5"/>
    </w:pPr>
    <w:rPr>
      <w:rFonts w:asciiTheme="majorHAnsi" w:hAnsiTheme="majorHAnsi" w:eastAsiaTheme="majorEastAsia" w:cstheme="majorBidi"/>
      <w:b/>
    </w:rPr>
  </w:style>
  <w:style w:type="paragraph" w:styleId="8">
    <w:name w:val="heading 7"/>
    <w:basedOn w:val="1"/>
    <w:next w:val="1"/>
    <w:unhideWhenUsed/>
    <w:qFormat/>
    <w:uiPriority w:val="0"/>
    <w:pPr>
      <w:keepNext/>
      <w:keepLines/>
      <w:outlineLvl w:val="6"/>
    </w:pPr>
    <w:rPr>
      <w:b/>
    </w:rPr>
  </w:style>
  <w:style w:type="paragraph" w:styleId="9">
    <w:name w:val="heading 8"/>
    <w:basedOn w:val="1"/>
    <w:next w:val="1"/>
    <w:unhideWhenUsed/>
    <w:qFormat/>
    <w:uiPriority w:val="0"/>
    <w:pPr>
      <w:keepNext/>
      <w:keepLines/>
      <w:outlineLvl w:val="7"/>
    </w:pPr>
    <w:rPr>
      <w:rFonts w:asciiTheme="majorHAnsi" w:hAnsiTheme="majorHAnsi" w:eastAsiaTheme="majorEastAsia" w:cstheme="majorBidi"/>
    </w:rPr>
  </w:style>
  <w:style w:type="paragraph" w:styleId="10">
    <w:name w:val="heading 9"/>
    <w:basedOn w:val="1"/>
    <w:next w:val="1"/>
    <w:unhideWhenUsed/>
    <w:qFormat/>
    <w:uiPriority w:val="0"/>
    <w:pPr>
      <w:keepNext/>
      <w:keepLines/>
      <w:outlineLvl w:val="8"/>
    </w:p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27"/>
    <w:semiHidden/>
    <w:unhideWhenUsed/>
    <w:uiPriority w:val="99"/>
    <w:pPr>
      <w:jc w:val="left"/>
    </w:pPr>
  </w:style>
  <w:style w:type="paragraph" w:styleId="12">
    <w:name w:val="endnote text"/>
    <w:basedOn w:val="1"/>
    <w:semiHidden/>
    <w:unhideWhenUsed/>
    <w:uiPriority w:val="99"/>
    <w:pPr>
      <w:snapToGrid w:val="0"/>
      <w:jc w:val="left"/>
    </w:pPr>
  </w:style>
  <w:style w:type="paragraph" w:styleId="13">
    <w:name w:val="footnote text"/>
    <w:basedOn w:val="1"/>
    <w:semiHidden/>
    <w:unhideWhenUsed/>
    <w:uiPriority w:val="99"/>
    <w:pPr>
      <w:snapToGrid w:val="0"/>
      <w:jc w:val="left"/>
    </w:pPr>
    <w:rPr>
      <w:sz w:val="18"/>
    </w:rPr>
  </w:style>
  <w:style w:type="paragraph" w:styleId="14">
    <w:name w:val="Normal (Web)"/>
    <w:basedOn w:val="1"/>
    <w:semiHidden/>
    <w:unhideWhenUsed/>
    <w:uiPriority w:val="99"/>
    <w:rPr>
      <w:sz w:val="24"/>
    </w:rPr>
  </w:style>
  <w:style w:type="paragraph" w:styleId="15">
    <w:name w:val="annotation subject"/>
    <w:basedOn w:val="11"/>
    <w:next w:val="11"/>
    <w:link w:val="28"/>
    <w:semiHidden/>
    <w:unhideWhenUsed/>
    <w:uiPriority w:val="99"/>
    <w:rPr>
      <w:b/>
    </w:rPr>
  </w:style>
  <w:style w:type="table" w:styleId="17">
    <w:name w:val="Table Gri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ndnote reference"/>
    <w:basedOn w:val="18"/>
    <w:semiHidden/>
    <w:unhideWhenUsed/>
    <w:uiPriority w:val="99"/>
    <w:rPr>
      <w:vertAlign w:val="superscript"/>
    </w:rPr>
  </w:style>
  <w:style w:type="character" w:styleId="20">
    <w:name w:val="Hyperlink"/>
    <w:unhideWhenUsed/>
    <w:uiPriority w:val="99"/>
    <w:rPr>
      <w:color w:val="0563C1" w:themeColor="hyperlink"/>
      <w:u w:val="single"/>
      <w14:textFill>
        <w14:solidFill>
          <w14:schemeClr w14:val="hlink"/>
        </w14:solidFill>
      </w14:textFill>
    </w:rPr>
  </w:style>
  <w:style w:type="character" w:styleId="21">
    <w:name w:val="annotation reference"/>
    <w:basedOn w:val="18"/>
    <w:semiHidden/>
    <w:unhideWhenUsed/>
    <w:uiPriority w:val="99"/>
    <w:rPr>
      <w:sz w:val="21"/>
      <w:szCs w:val="21"/>
    </w:rPr>
  </w:style>
  <w:style w:type="character" w:styleId="22">
    <w:name w:val="footnote reference"/>
    <w:basedOn w:val="18"/>
    <w:semiHidden/>
    <w:unhideWhenUsed/>
    <w:uiPriority w:val="99"/>
    <w:rPr>
      <w:vertAlign w:val="superscript"/>
    </w:rPr>
  </w:style>
  <w:style w:type="character" w:customStyle="1" w:styleId="23">
    <w:name w:val="标题 1 字符"/>
    <w:basedOn w:val="18"/>
    <w:link w:val="2"/>
    <w:uiPriority w:val="9"/>
    <w:rPr>
      <w:b/>
      <w:bCs/>
      <w:kern w:val="44"/>
      <w:sz w:val="44"/>
      <w:szCs w:val="44"/>
    </w:rPr>
  </w:style>
  <w:style w:type="paragraph" w:styleId="24">
    <w:name w:val="List Paragraph"/>
    <w:basedOn w:val="1"/>
    <w:qFormat/>
    <w:uiPriority w:val="34"/>
    <w:pPr>
      <w:ind w:firstLine="420" w:firstLineChars="200"/>
    </w:pPr>
  </w:style>
  <w:style w:type="character" w:customStyle="1" w:styleId="25">
    <w:name w:val="标题 2 字符"/>
    <w:basedOn w:val="18"/>
    <w:link w:val="3"/>
    <w:uiPriority w:val="9"/>
    <w:rPr>
      <w:rFonts w:asciiTheme="majorHAnsi" w:hAnsiTheme="majorHAnsi" w:eastAsiaTheme="majorEastAsia" w:cstheme="majorBidi"/>
      <w:b/>
      <w:bCs/>
      <w:sz w:val="32"/>
      <w:szCs w:val="32"/>
    </w:rPr>
  </w:style>
  <w:style w:type="character" w:customStyle="1" w:styleId="26">
    <w:name w:val="标题 3 字符"/>
    <w:basedOn w:val="18"/>
    <w:link w:val="4"/>
    <w:uiPriority w:val="9"/>
    <w:rPr>
      <w:b/>
      <w:bCs/>
      <w:sz w:val="32"/>
      <w:szCs w:val="32"/>
    </w:rPr>
  </w:style>
  <w:style w:type="character" w:customStyle="1" w:styleId="27">
    <w:name w:val="批注文字 字符"/>
    <w:basedOn w:val="18"/>
    <w:link w:val="11"/>
    <w:semiHidden/>
    <w:uiPriority w:val="99"/>
  </w:style>
  <w:style w:type="character" w:customStyle="1" w:styleId="28">
    <w:name w:val="批注主题 字符"/>
    <w:basedOn w:val="27"/>
    <w:link w:val="15"/>
    <w:semiHidden/>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Words>
  <Characters>64</Characters>
  <Lines>1</Lines>
  <Paragraphs>1</Paragraphs>
  <TotalTime>52</TotalTime>
  <ScaleCrop>false</ScaleCrop>
  <LinksUpToDate>false</LinksUpToDate>
  <CharactersWithSpaces>74</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2023-12-07T08:19:00Z</dcterms:created>
  <dc:creator>okms</dc:creator>
  <cp:lastModifiedBy>安南</cp:lastModifiedBy>
  <dcterms:modified xsi:type="dcterms:W3CDTF">2023-12-10T23:56:34Z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A0F87593B69E4C2847D67565B4252A1D_43</vt:lpwstr>
  </property>
</Properties>
</file>