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2312" w:hAnsi="方正仿宋_GB2312" w:eastAsia="方正仿宋_GB2312" w:cs="方正仿宋_GB2312"/>
          <w:b/>
          <w:bCs/>
          <w:sz w:val="21"/>
          <w:szCs w:val="21"/>
          <w:lang w:val="en-US" w:eastAsia="zh-CN"/>
        </w:rPr>
      </w:pPr>
      <w:bookmarkStart w:id="0" w:name="OLE_LINK1"/>
      <w:r>
        <w:rPr>
          <w:rFonts w:hint="eastAsia" w:ascii="方正仿宋_GB2312" w:hAnsi="方正仿宋_GB2312" w:eastAsia="方正仿宋_GB2312" w:cs="方正仿宋_GB2312"/>
          <w:b/>
          <w:bCs/>
          <w:sz w:val="21"/>
          <w:szCs w:val="21"/>
          <w:lang w:val="en-US" w:eastAsia="zh-CN"/>
        </w:rPr>
        <w:t>毕业实习</w:t>
      </w:r>
      <w:r>
        <w:rPr>
          <w:rFonts w:hint="eastAsia" w:ascii="方正仿宋_GB2312" w:hAnsi="方正仿宋_GB2312" w:eastAsia="方正仿宋_GB2312" w:cs="方正仿宋_GB2312"/>
          <w:b/>
          <w:bCs/>
          <w:sz w:val="21"/>
          <w:szCs w:val="21"/>
          <w:lang w:val="en-US" w:eastAsia="zh-Hans"/>
        </w:rPr>
        <w:t>环节中</w:t>
      </w:r>
      <w:r>
        <w:rPr>
          <w:rFonts w:hint="eastAsia" w:ascii="方正仿宋_GB2312" w:hAnsi="方正仿宋_GB2312" w:eastAsia="方正仿宋_GB2312" w:cs="方正仿宋_GB2312"/>
          <w:b/>
          <w:bCs/>
          <w:sz w:val="21"/>
          <w:szCs w:val="21"/>
          <w:lang w:val="en-US" w:eastAsia="zh-CN"/>
        </w:rPr>
        <w:t>“岗位-专业”一致性、行业选择和地域偏好</w:t>
      </w:r>
    </w:p>
    <w:p>
      <w:pPr>
        <w:jc w:val="center"/>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——基于某高校2021届管理类专业的调查</w:t>
      </w:r>
    </w:p>
    <w:p>
      <w:pPr>
        <w:jc w:val="center"/>
        <w:rPr>
          <w:rFonts w:hint="eastAsia" w:ascii="方正仿宋_GB2312" w:hAnsi="方正仿宋_GB2312" w:eastAsia="方正仿宋_GB2312" w:cs="方正仿宋_GB2312"/>
          <w:sz w:val="21"/>
          <w:szCs w:val="21"/>
          <w:lang w:val="en-US" w:eastAsia="zh-CN"/>
        </w:rPr>
      </w:pPr>
    </w:p>
    <w:p>
      <w:pPr>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 xml:space="preserve">侯锦琴   </w:t>
      </w:r>
    </w:p>
    <w:p>
      <w:p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仲恺农业工程学院  广东广州  510225</w:t>
      </w:r>
    </w:p>
    <w:p>
      <w:pPr>
        <w:rPr>
          <w:rFonts w:hint="eastAsia" w:ascii="方正仿宋_GB2312" w:hAnsi="方正仿宋_GB2312" w:eastAsia="方正仿宋_GB2312" w:cs="方正仿宋_GB2312"/>
          <w:sz w:val="21"/>
          <w:szCs w:val="21"/>
          <w:lang w:val="en-US" w:eastAsia="zh-CN"/>
        </w:rPr>
      </w:pPr>
    </w:p>
    <w:p>
      <w:pPr>
        <w:spacing w:line="360" w:lineRule="auto"/>
        <w:ind w:firstLine="422" w:firstLineChars="20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b/>
          <w:bCs/>
          <w:sz w:val="21"/>
          <w:szCs w:val="21"/>
          <w:lang w:val="en-US" w:eastAsia="zh-CN"/>
        </w:rPr>
        <w:t>摘要：</w:t>
      </w:r>
      <w:r>
        <w:rPr>
          <w:rFonts w:hint="eastAsia" w:ascii="方正仿宋_GB2312" w:hAnsi="方正仿宋_GB2312" w:eastAsia="方正仿宋_GB2312" w:cs="方正仿宋_GB2312"/>
          <w:b w:val="0"/>
          <w:bCs w:val="0"/>
          <w:sz w:val="21"/>
          <w:szCs w:val="21"/>
          <w:lang w:val="en-US" w:eastAsia="zh-CN"/>
        </w:rPr>
        <w:t>“新农科”建设要求高等农业教育要为乡村振兴提供更加强有力的人才支撑。毕业实习是培养大学生就业能力、促进大学生就业的关键环节。做好毕</w:t>
      </w:r>
      <w:r>
        <w:rPr>
          <w:rFonts w:hint="eastAsia" w:ascii="方正仿宋_GB2312" w:hAnsi="方正仿宋_GB2312" w:eastAsia="方正仿宋_GB2312" w:cs="方正仿宋_GB2312"/>
          <w:sz w:val="21"/>
          <w:szCs w:val="21"/>
          <w:lang w:val="en-US" w:eastAsia="zh-CN"/>
        </w:rPr>
        <w:t>业实习</w:t>
      </w:r>
      <w:r>
        <w:rPr>
          <w:rFonts w:hint="eastAsia" w:ascii="方正仿宋_GB2312" w:hAnsi="方正仿宋_GB2312" w:eastAsia="方正仿宋_GB2312" w:cs="方正仿宋_GB2312"/>
          <w:sz w:val="21"/>
          <w:szCs w:val="21"/>
          <w:lang w:val="en-US" w:eastAsia="zh-Hans"/>
        </w:rPr>
        <w:t>环节</w:t>
      </w:r>
      <w:r>
        <w:rPr>
          <w:rFonts w:hint="eastAsia" w:ascii="方正仿宋_GB2312" w:hAnsi="方正仿宋_GB2312" w:eastAsia="方正仿宋_GB2312" w:cs="方正仿宋_GB2312"/>
          <w:sz w:val="21"/>
          <w:szCs w:val="21"/>
          <w:lang w:val="en-US" w:eastAsia="zh-CN"/>
        </w:rPr>
        <w:t>，对实现大学生培养目标、提高大学生能力和素质，促进大学生就业并投身乡村振兴具有重要意义。基于广东省某农业院校690名管理类专业大学生毕业实习相关数据，运用列联表分析等统计方法对毕业实习的“岗位-专业”一致性、行业选择和地域偏好进行分析，研究发现：管理类专业学生的毕业实习岗位和专业不一致性问题较为突出，且专业间差异显著；不同专业和行业选择偏好相关性显著，但在区域选择方面没有倾向性，多选择靠近学校所在地的区域开展毕业实习。基于这些特点，建议涉农高校应积极建设“新农科”以服务乡村振兴战略，重视毕业实习环节管理，着重加强优化培养方案、强化素质能力培养和做好分类指导和就业指导。</w:t>
      </w:r>
    </w:p>
    <w:p>
      <w:pPr>
        <w:spacing w:line="360" w:lineRule="auto"/>
        <w:ind w:firstLine="422" w:firstLineChars="20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b/>
          <w:bCs/>
          <w:sz w:val="21"/>
          <w:szCs w:val="21"/>
          <w:lang w:val="en-US" w:eastAsia="zh-CN"/>
        </w:rPr>
        <w:t>关键词：</w:t>
      </w:r>
      <w:r>
        <w:rPr>
          <w:rFonts w:hint="eastAsia" w:ascii="方正仿宋_GB2312" w:hAnsi="方正仿宋_GB2312" w:eastAsia="方正仿宋_GB2312" w:cs="方正仿宋_GB2312"/>
          <w:sz w:val="21"/>
          <w:szCs w:val="21"/>
          <w:lang w:val="en-US" w:eastAsia="zh-CN"/>
        </w:rPr>
        <w:t>新农科建设；大学生就业；毕业实习；行业选择；地域偏好；</w:t>
      </w:r>
    </w:p>
    <w:p>
      <w:pPr>
        <w:spacing w:line="360" w:lineRule="auto"/>
        <w:ind w:firstLine="420" w:firstLineChars="200"/>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中图分类号：G642.4</w:t>
      </w:r>
    </w:p>
    <w:bookmarkEnd w:id="0"/>
    <w:p>
      <w:pPr>
        <w:spacing w:line="360" w:lineRule="auto"/>
        <w:rPr>
          <w:rFonts w:hint="eastAsia" w:ascii="方正仿宋_GB2312" w:hAnsi="方正仿宋_GB2312" w:eastAsia="方正仿宋_GB2312" w:cs="方正仿宋_GB2312"/>
          <w:sz w:val="21"/>
          <w:szCs w:val="21"/>
          <w:lang w:val="en-US" w:eastAsia="zh-CN"/>
        </w:rPr>
      </w:pPr>
    </w:p>
    <w:p>
      <w:pPr>
        <w:spacing w:line="360" w:lineRule="auto"/>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一、引言</w:t>
      </w:r>
    </w:p>
    <w:p>
      <w:pPr>
        <w:numPr>
          <w:ilvl w:val="0"/>
          <w:numId w:val="0"/>
        </w:numPr>
        <w:spacing w:line="360" w:lineRule="auto"/>
        <w:ind w:firstLine="420" w:firstLineChars="20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“新农科”建设为农业高等教育发展提出了新要求，也带来了新契机，发展“新农科”正当其时</w:t>
      </w:r>
      <w:r>
        <w:rPr>
          <w:rFonts w:hint="eastAsia" w:ascii="方正仿宋_GB2312" w:hAnsi="方正仿宋_GB2312" w:eastAsia="方正仿宋_GB2312" w:cs="方正仿宋_GB2312"/>
          <w:sz w:val="21"/>
          <w:szCs w:val="21"/>
          <w:vertAlign w:val="superscript"/>
          <w:lang w:val="en-US" w:eastAsia="zh-CN"/>
        </w:rPr>
        <w:t>[1]</w:t>
      </w:r>
      <w:r>
        <w:rPr>
          <w:rFonts w:hint="eastAsia" w:ascii="方正仿宋_GB2312" w:hAnsi="方正仿宋_GB2312" w:eastAsia="方正仿宋_GB2312" w:cs="方正仿宋_GB2312"/>
          <w:sz w:val="21"/>
          <w:szCs w:val="21"/>
          <w:lang w:val="en-US" w:eastAsia="zh-CN"/>
        </w:rPr>
        <w:t>。随着2019年4月“新农科”建设工作组成立，“新农科”建设正式成为农业高等教育落实乡村振兴战略的重要抓手。“新农科”建设的在人才培养方面的核心使命是实现农业人才培养的跨界融合，为乡村振兴输送能够担当民族复兴重任的拔尖创新性、复合应用型和实用技能性卓越农林人才。也就是说，“新农科”建设对人才培养的要求更高，难度更大，吕杰认为“新农科”建设已经成为新时期农业高校教育教学改革的重要方向</w:t>
      </w:r>
      <w:r>
        <w:rPr>
          <w:rFonts w:hint="eastAsia" w:ascii="方正仿宋_GB2312" w:hAnsi="方正仿宋_GB2312" w:eastAsia="方正仿宋_GB2312" w:cs="方正仿宋_GB2312"/>
          <w:sz w:val="21"/>
          <w:szCs w:val="21"/>
          <w:vertAlign w:val="superscript"/>
          <w:lang w:val="en-US" w:eastAsia="zh-CN"/>
        </w:rPr>
        <w:t>[2]</w:t>
      </w:r>
      <w:r>
        <w:rPr>
          <w:rFonts w:hint="eastAsia" w:ascii="方正仿宋_GB2312" w:hAnsi="方正仿宋_GB2312" w:eastAsia="方正仿宋_GB2312" w:cs="方正仿宋_GB2312"/>
          <w:sz w:val="21"/>
          <w:szCs w:val="21"/>
          <w:lang w:val="en-US" w:eastAsia="zh-CN"/>
        </w:rPr>
        <w:t>。与此同时，近年来高校推进实施提高高等教育毛入学率工程，农科院校管理类专业大学生的数量也不断长。当前，高校不仅仅面临着学生数量扩张期，也处在人才培养定位的转型期，也要面临经济发展不稳定因素加剧期，使得大学生的就业形势更加严峻。在更加严峻的就业形势面前，唯有积极探索并提高大学生就业能力是破解当前就业困境的唯一选择。</w:t>
      </w:r>
    </w:p>
    <w:p>
      <w:pPr>
        <w:numPr>
          <w:ilvl w:val="0"/>
          <w:numId w:val="0"/>
        </w:numPr>
        <w:spacing w:line="360" w:lineRule="auto"/>
        <w:ind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sz w:val="21"/>
          <w:szCs w:val="21"/>
          <w:lang w:val="en-US" w:eastAsia="zh-CN"/>
        </w:rPr>
        <w:t>大学生毕业实习是衔接大学生大学学习和大学生走向社会就业的中间环节，是大学生进入职场前的一次重要演练</w:t>
      </w:r>
      <w:r>
        <w:rPr>
          <w:rFonts w:hint="eastAsia" w:ascii="方正仿宋_GB2312" w:hAnsi="方正仿宋_GB2312" w:eastAsia="方正仿宋_GB2312" w:cs="方正仿宋_GB2312"/>
          <w:sz w:val="21"/>
          <w:szCs w:val="21"/>
          <w:vertAlign w:val="superscript"/>
          <w:lang w:val="en-US" w:eastAsia="zh-CN"/>
        </w:rPr>
        <w:t>[3]</w:t>
      </w:r>
      <w:r>
        <w:rPr>
          <w:rFonts w:hint="eastAsia" w:ascii="方正仿宋_GB2312" w:hAnsi="方正仿宋_GB2312" w:eastAsia="方正仿宋_GB2312" w:cs="方正仿宋_GB2312"/>
          <w:sz w:val="21"/>
          <w:szCs w:val="21"/>
          <w:lang w:val="en-US" w:eastAsia="zh-CN"/>
        </w:rPr>
        <w:t>，是促进大学生有效就业的关键环节。尹若珺</w:t>
      </w:r>
      <w:r>
        <w:rPr>
          <w:rFonts w:hint="eastAsia" w:ascii="方正仿宋_GB2312" w:hAnsi="方正仿宋_GB2312" w:eastAsia="方正仿宋_GB2312" w:cs="方正仿宋_GB2312"/>
          <w:sz w:val="21"/>
          <w:szCs w:val="21"/>
          <w:vertAlign w:val="superscript"/>
          <w:lang w:val="en-US" w:eastAsia="zh-CN"/>
        </w:rPr>
        <w:t>[4]</w:t>
      </w:r>
      <w:r>
        <w:rPr>
          <w:rFonts w:hint="eastAsia" w:ascii="方正仿宋_GB2312" w:hAnsi="方正仿宋_GB2312" w:eastAsia="方正仿宋_GB2312" w:cs="方正仿宋_GB2312"/>
          <w:sz w:val="21"/>
          <w:szCs w:val="21"/>
          <w:lang w:val="en-US" w:eastAsia="zh-CN"/>
        </w:rPr>
        <w:t>针对吉林大学就业大学生的调研发现个人实习成绩和实际能力是影响大学生就业的重要因素，有超过80%的学生肯定了个人实习成绩的重要性。赵节昌</w:t>
      </w:r>
      <w:r>
        <w:rPr>
          <w:rFonts w:hint="eastAsia" w:ascii="方正仿宋_GB2312" w:hAnsi="方正仿宋_GB2312" w:eastAsia="方正仿宋_GB2312" w:cs="方正仿宋_GB2312"/>
          <w:sz w:val="21"/>
          <w:szCs w:val="21"/>
          <w:vertAlign w:val="superscript"/>
          <w:lang w:val="en-US" w:eastAsia="zh-CN"/>
        </w:rPr>
        <w:t>[5]</w:t>
      </w:r>
      <w:r>
        <w:rPr>
          <w:rFonts w:hint="eastAsia" w:ascii="方正仿宋_GB2312" w:hAnsi="方正仿宋_GB2312" w:eastAsia="方正仿宋_GB2312" w:cs="方正仿宋_GB2312"/>
          <w:sz w:val="21"/>
          <w:szCs w:val="21"/>
          <w:lang w:val="en-US" w:eastAsia="zh-CN"/>
        </w:rPr>
        <w:t>等认为大学生在毕业实习中，一个更好的心理状态不仅可以促进毕业实习顺利完成，还可以提高实习效率并促进大</w:t>
      </w:r>
      <w:r>
        <w:rPr>
          <w:rFonts w:hint="eastAsia" w:ascii="方正仿宋_GB2312" w:hAnsi="方正仿宋_GB2312" w:eastAsia="方正仿宋_GB2312" w:cs="方正仿宋_GB2312"/>
          <w:color w:val="auto"/>
          <w:sz w:val="21"/>
          <w:szCs w:val="21"/>
          <w:lang w:val="en-US" w:eastAsia="zh-CN"/>
        </w:rPr>
        <w:t>学生就业。张维延</w:t>
      </w:r>
      <w:r>
        <w:rPr>
          <w:rFonts w:hint="eastAsia" w:ascii="方正仿宋_GB2312" w:hAnsi="方正仿宋_GB2312" w:eastAsia="方正仿宋_GB2312" w:cs="方正仿宋_GB2312"/>
          <w:color w:val="auto"/>
          <w:sz w:val="21"/>
          <w:szCs w:val="21"/>
          <w:vertAlign w:val="superscript"/>
          <w:lang w:val="en-US" w:eastAsia="zh-CN"/>
        </w:rPr>
        <w:t>[6]</w:t>
      </w:r>
      <w:r>
        <w:rPr>
          <w:rFonts w:hint="eastAsia" w:ascii="方正仿宋_GB2312" w:hAnsi="方正仿宋_GB2312" w:eastAsia="方正仿宋_GB2312" w:cs="方正仿宋_GB2312"/>
          <w:color w:val="auto"/>
          <w:sz w:val="21"/>
          <w:szCs w:val="21"/>
          <w:lang w:val="en-US" w:eastAsia="zh-CN"/>
        </w:rPr>
        <w:t>针对苏州大学2014届本科生的毕业实习调查发现：大学生已经意识到就业形势的严峻，也能够认识自身能力优势以及自己能力和社会需求之间的差距，并能够直面这些就业困难，并试图通过毕业实习来加以改善。林琳</w:t>
      </w:r>
      <w:r>
        <w:rPr>
          <w:rFonts w:hint="eastAsia" w:ascii="方正仿宋_GB2312" w:hAnsi="方正仿宋_GB2312" w:eastAsia="方正仿宋_GB2312" w:cs="方正仿宋_GB2312"/>
          <w:color w:val="auto"/>
          <w:sz w:val="21"/>
          <w:szCs w:val="21"/>
          <w:vertAlign w:val="superscript"/>
          <w:lang w:val="en-US" w:eastAsia="zh-CN"/>
        </w:rPr>
        <w:t>[7]</w:t>
      </w:r>
      <w:r>
        <w:rPr>
          <w:rFonts w:hint="eastAsia" w:ascii="方正仿宋_GB2312" w:hAnsi="方正仿宋_GB2312" w:eastAsia="方正仿宋_GB2312" w:cs="方正仿宋_GB2312"/>
          <w:color w:val="auto"/>
          <w:sz w:val="21"/>
          <w:szCs w:val="21"/>
          <w:lang w:val="en-US" w:eastAsia="zh-CN"/>
        </w:rPr>
        <w:t>针对北京市属高校的理工类本科毕业生调查结果显示，毕业实习内容和在校所学知识之间联系很大，且大学生在校的知识储备对满足毕业实习要求之间还有差距。因此，针对毕业实习环节，加强对毕业实习环节的监控、分析和管理，既能够促进提高大学生就业竞争力，也能加强大学生和用人单位之间匹配和磨合，对促进和确保大学生顺利就业，对于破解农业高校在“新农科”建设中面临的多期叠加的困境具有重要现实意义。</w:t>
      </w:r>
    </w:p>
    <w:p>
      <w:pPr>
        <w:numPr>
          <w:ilvl w:val="0"/>
          <w:numId w:val="0"/>
        </w:numPr>
        <w:spacing w:line="360" w:lineRule="auto"/>
        <w:ind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本研究结合地方农业院校2021届管理类专业毕业生的毕业实习情况进行分析，着重分析管理类不同专业间“专业-实习岗位”的一致性、行业选择和区域倾向性等重要特征，为寻求提高毕业实习的效果提供决策建议。</w:t>
      </w:r>
    </w:p>
    <w:p>
      <w:pPr>
        <w:spacing w:line="360" w:lineRule="auto"/>
        <w:rPr>
          <w:rFonts w:hint="eastAsia" w:ascii="方正仿宋_GB2312" w:hAnsi="方正仿宋_GB2312" w:eastAsia="方正仿宋_GB2312" w:cs="方正仿宋_GB2312"/>
          <w:b/>
          <w:bCs/>
          <w:color w:val="auto"/>
          <w:sz w:val="21"/>
          <w:szCs w:val="21"/>
          <w:lang w:val="en-US" w:eastAsia="zh-CN"/>
        </w:rPr>
      </w:pPr>
      <w:r>
        <w:rPr>
          <w:rFonts w:hint="eastAsia" w:ascii="方正仿宋_GB2312" w:hAnsi="方正仿宋_GB2312" w:eastAsia="方正仿宋_GB2312" w:cs="方正仿宋_GB2312"/>
          <w:b/>
          <w:bCs/>
          <w:color w:val="auto"/>
          <w:sz w:val="21"/>
          <w:szCs w:val="21"/>
          <w:lang w:val="en-US" w:eastAsia="zh-CN"/>
        </w:rPr>
        <w:t>二、研究方法和样本情况</w:t>
      </w:r>
    </w:p>
    <w:p>
      <w:pPr>
        <w:numPr>
          <w:ilvl w:val="0"/>
          <w:numId w:val="0"/>
        </w:numPr>
        <w:spacing w:line="360" w:lineRule="auto"/>
        <w:ind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为了弄清管理类专业大学生毕业实习的主要特征，本研究针对某地方农业高等院校2021届管理类毕业实习生进行全面调查，收集学生班级、所学专业、实习单位、实习岗位、实习地点、实习联系人等详细信息。对收集到的相关数据，针对实习岗位工作内容和专业进行核对，通过岗位工作内容判断其和所学专业的一致性；根据毕业生实习工作地所在地市，按照广东省四大经济区域的划分确定毕业实习的区域分布。通过对相关数据编码，运用SPSS25.0工具进行统计分析，结合显著性检验，毕业实习特征做出判断和分析。</w:t>
      </w:r>
    </w:p>
    <w:p>
      <w:pPr>
        <w:numPr>
          <w:ilvl w:val="0"/>
          <w:numId w:val="0"/>
        </w:numPr>
        <w:spacing w:line="360" w:lineRule="auto"/>
        <w:ind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本研究的数据来自广东省某地方性农业高等院校管理理学院2021届毕业实习学生的实习单位数据，删除了缺失实习岗位、实习单位、实习单位联系人等相关主要信息的数据，取得有效数据共计690个。为简化表述，专业均采用中文简写表达：工商管理专业简写为工管，人力资源管理专业简写为人力，市场营销专业简写为市营，财务管理专业简写为财务，会计学专业简写为会计。调查样本中学生的各专业占比情况如表1：</w:t>
      </w:r>
    </w:p>
    <w:p>
      <w:pPr>
        <w:numPr>
          <w:ilvl w:val="0"/>
          <w:numId w:val="0"/>
        </w:numPr>
        <w:spacing w:line="360" w:lineRule="auto"/>
        <w:ind w:firstLine="420" w:firstLineChars="200"/>
        <w:rPr>
          <w:rFonts w:hint="eastAsia" w:ascii="方正仿宋_GB2312" w:hAnsi="方正仿宋_GB2312" w:eastAsia="方正仿宋_GB2312" w:cs="方正仿宋_GB2312"/>
          <w:color w:val="auto"/>
          <w:sz w:val="21"/>
          <w:szCs w:val="21"/>
          <w:lang w:val="en-US" w:eastAsia="zh-CN"/>
        </w:rPr>
      </w:pPr>
    </w:p>
    <w:p>
      <w:pPr>
        <w:numPr>
          <w:ilvl w:val="0"/>
          <w:numId w:val="0"/>
        </w:numPr>
        <w:spacing w:line="360" w:lineRule="auto"/>
        <w:jc w:val="center"/>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表1. 调查对象的专业分布描述性统计</w:t>
      </w:r>
    </w:p>
    <w:tbl>
      <w:tblPr>
        <w:tblStyle w:val="8"/>
        <w:tblpPr w:leftFromText="180" w:rightFromText="180" w:vertAnchor="text" w:horzAnchor="page" w:tblpX="1910" w:tblpY="28"/>
        <w:tblOverlap w:val="never"/>
        <w:tblW w:w="80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1"/>
        <w:gridCol w:w="1245"/>
        <w:gridCol w:w="1232"/>
        <w:gridCol w:w="2024"/>
        <w:gridCol w:w="2042"/>
      </w:tblGrid>
      <w:tr>
        <w:trPr>
          <w:cantSplit/>
          <w:trHeight w:val="454" w:hRule="atLeast"/>
          <w:jc w:val="center"/>
        </w:trPr>
        <w:tc>
          <w:tcPr>
            <w:tcW w:w="1511"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jc w:val="center"/>
              <w:rPr>
                <w:rFonts w:hint="eastAsia" w:ascii="方正仿宋_GB2312" w:hAnsi="方正仿宋_GB2312" w:eastAsia="方正仿宋_GB2312" w:cs="方正仿宋_GB2312"/>
                <w:b/>
                <w:bCs/>
                <w:color w:val="auto"/>
                <w:sz w:val="21"/>
                <w:szCs w:val="21"/>
                <w:shd w:val="clear" w:color="auto" w:fill="auto"/>
                <w:lang w:val="en-US" w:eastAsia="zh-CN"/>
              </w:rPr>
            </w:pPr>
            <w:r>
              <w:rPr>
                <w:rFonts w:hint="eastAsia" w:ascii="方正仿宋_GB2312" w:hAnsi="方正仿宋_GB2312" w:eastAsia="方正仿宋_GB2312" w:cs="方正仿宋_GB2312"/>
                <w:b/>
                <w:bCs/>
                <w:color w:val="auto"/>
                <w:sz w:val="21"/>
                <w:szCs w:val="21"/>
                <w:shd w:val="clear" w:color="auto" w:fill="auto"/>
                <w:lang w:val="en-US" w:eastAsia="zh-CN"/>
              </w:rPr>
              <w:t>专业</w:t>
            </w:r>
          </w:p>
        </w:tc>
        <w:tc>
          <w:tcPr>
            <w:tcW w:w="1245"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b/>
                <w:bCs/>
                <w:color w:val="auto"/>
                <w:sz w:val="21"/>
                <w:szCs w:val="21"/>
                <w:shd w:val="clear" w:color="auto" w:fill="auto"/>
              </w:rPr>
            </w:pPr>
            <w:r>
              <w:rPr>
                <w:rFonts w:hint="eastAsia" w:ascii="方正仿宋_GB2312" w:hAnsi="方正仿宋_GB2312" w:eastAsia="方正仿宋_GB2312" w:cs="方正仿宋_GB2312"/>
                <w:b/>
                <w:bCs/>
                <w:color w:val="auto"/>
                <w:sz w:val="21"/>
                <w:szCs w:val="21"/>
                <w:shd w:val="clear" w:color="auto" w:fill="auto"/>
              </w:rPr>
              <w:t>频率</w:t>
            </w:r>
          </w:p>
        </w:tc>
        <w:tc>
          <w:tcPr>
            <w:tcW w:w="1232"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b/>
                <w:bCs/>
                <w:color w:val="auto"/>
                <w:sz w:val="21"/>
                <w:szCs w:val="21"/>
                <w:shd w:val="clear" w:color="auto" w:fill="auto"/>
                <w:lang w:val="en-US" w:eastAsia="zh-CN"/>
              </w:rPr>
            </w:pPr>
            <w:r>
              <w:rPr>
                <w:rFonts w:hint="eastAsia" w:ascii="方正仿宋_GB2312" w:hAnsi="方正仿宋_GB2312" w:eastAsia="方正仿宋_GB2312" w:cs="方正仿宋_GB2312"/>
                <w:b/>
                <w:bCs/>
                <w:color w:val="auto"/>
                <w:sz w:val="21"/>
                <w:szCs w:val="21"/>
                <w:shd w:val="clear" w:color="auto" w:fill="auto"/>
              </w:rPr>
              <w:t>百分比</w:t>
            </w:r>
            <w:r>
              <w:rPr>
                <w:rFonts w:hint="eastAsia" w:ascii="方正仿宋_GB2312" w:hAnsi="方正仿宋_GB2312" w:eastAsia="方正仿宋_GB2312" w:cs="方正仿宋_GB2312"/>
                <w:b/>
                <w:bCs/>
                <w:color w:val="auto"/>
                <w:sz w:val="21"/>
                <w:szCs w:val="21"/>
                <w:shd w:val="clear" w:color="auto" w:fill="auto"/>
                <w:lang w:eastAsia="zh-CN"/>
              </w:rPr>
              <w:t>（</w:t>
            </w:r>
            <w:r>
              <w:rPr>
                <w:rFonts w:hint="eastAsia" w:ascii="方正仿宋_GB2312" w:hAnsi="方正仿宋_GB2312" w:eastAsia="方正仿宋_GB2312" w:cs="方正仿宋_GB2312"/>
                <w:b/>
                <w:bCs/>
                <w:color w:val="auto"/>
                <w:sz w:val="21"/>
                <w:szCs w:val="21"/>
                <w:shd w:val="clear" w:color="auto" w:fill="auto"/>
                <w:lang w:val="en-US" w:eastAsia="zh-CN"/>
              </w:rPr>
              <w:t>%</w:t>
            </w:r>
            <w:r>
              <w:rPr>
                <w:rFonts w:hint="eastAsia" w:ascii="方正仿宋_GB2312" w:hAnsi="方正仿宋_GB2312" w:eastAsia="方正仿宋_GB2312" w:cs="方正仿宋_GB2312"/>
                <w:b/>
                <w:bCs/>
                <w:color w:val="auto"/>
                <w:sz w:val="21"/>
                <w:szCs w:val="21"/>
                <w:shd w:val="clear" w:color="auto" w:fill="auto"/>
                <w:lang w:eastAsia="zh-CN"/>
              </w:rPr>
              <w:t>）</w:t>
            </w:r>
          </w:p>
        </w:tc>
        <w:tc>
          <w:tcPr>
            <w:tcW w:w="2024"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b/>
                <w:bCs/>
                <w:color w:val="auto"/>
                <w:sz w:val="21"/>
                <w:szCs w:val="21"/>
                <w:shd w:val="clear" w:color="auto" w:fill="auto"/>
                <w:lang w:val="en-US" w:eastAsia="zh-CN"/>
              </w:rPr>
            </w:pPr>
            <w:r>
              <w:rPr>
                <w:rFonts w:hint="eastAsia" w:ascii="方正仿宋_GB2312" w:hAnsi="方正仿宋_GB2312" w:eastAsia="方正仿宋_GB2312" w:cs="方正仿宋_GB2312"/>
                <w:b/>
                <w:bCs/>
                <w:color w:val="auto"/>
                <w:sz w:val="21"/>
                <w:szCs w:val="21"/>
                <w:shd w:val="clear" w:color="auto" w:fill="auto"/>
              </w:rPr>
              <w:t>有效百分比</w:t>
            </w:r>
            <w:r>
              <w:rPr>
                <w:rFonts w:hint="eastAsia" w:ascii="方正仿宋_GB2312" w:hAnsi="方正仿宋_GB2312" w:eastAsia="方正仿宋_GB2312" w:cs="方正仿宋_GB2312"/>
                <w:b/>
                <w:bCs/>
                <w:color w:val="auto"/>
                <w:sz w:val="21"/>
                <w:szCs w:val="21"/>
                <w:shd w:val="clear" w:color="auto" w:fill="auto"/>
                <w:lang w:eastAsia="zh-CN"/>
              </w:rPr>
              <w:t>（</w:t>
            </w:r>
            <w:r>
              <w:rPr>
                <w:rFonts w:hint="eastAsia" w:ascii="方正仿宋_GB2312" w:hAnsi="方正仿宋_GB2312" w:eastAsia="方正仿宋_GB2312" w:cs="方正仿宋_GB2312"/>
                <w:b/>
                <w:bCs/>
                <w:color w:val="auto"/>
                <w:sz w:val="21"/>
                <w:szCs w:val="21"/>
                <w:shd w:val="clear" w:color="auto" w:fill="auto"/>
                <w:lang w:val="en-US" w:eastAsia="zh-CN"/>
              </w:rPr>
              <w:t>%</w:t>
            </w:r>
            <w:r>
              <w:rPr>
                <w:rFonts w:hint="eastAsia" w:ascii="方正仿宋_GB2312" w:hAnsi="方正仿宋_GB2312" w:eastAsia="方正仿宋_GB2312" w:cs="方正仿宋_GB2312"/>
                <w:b/>
                <w:bCs/>
                <w:color w:val="auto"/>
                <w:sz w:val="21"/>
                <w:szCs w:val="21"/>
                <w:shd w:val="clear" w:color="auto" w:fill="auto"/>
                <w:lang w:eastAsia="zh-CN"/>
              </w:rPr>
              <w:t>）</w:t>
            </w:r>
          </w:p>
        </w:tc>
        <w:tc>
          <w:tcPr>
            <w:tcW w:w="2042"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b/>
                <w:bCs/>
                <w:color w:val="auto"/>
                <w:sz w:val="21"/>
                <w:szCs w:val="21"/>
                <w:shd w:val="clear" w:color="auto" w:fill="auto"/>
                <w:lang w:val="en-US" w:eastAsia="zh-CN"/>
              </w:rPr>
            </w:pPr>
            <w:r>
              <w:rPr>
                <w:rFonts w:hint="eastAsia" w:ascii="方正仿宋_GB2312" w:hAnsi="方正仿宋_GB2312" w:eastAsia="方正仿宋_GB2312" w:cs="方正仿宋_GB2312"/>
                <w:b/>
                <w:bCs/>
                <w:color w:val="auto"/>
                <w:sz w:val="21"/>
                <w:szCs w:val="21"/>
                <w:shd w:val="clear" w:color="auto" w:fill="auto"/>
              </w:rPr>
              <w:t>累积百分比</w:t>
            </w:r>
            <w:r>
              <w:rPr>
                <w:rFonts w:hint="eastAsia" w:ascii="方正仿宋_GB2312" w:hAnsi="方正仿宋_GB2312" w:eastAsia="方正仿宋_GB2312" w:cs="方正仿宋_GB2312"/>
                <w:b/>
                <w:bCs/>
                <w:color w:val="auto"/>
                <w:sz w:val="21"/>
                <w:szCs w:val="21"/>
                <w:shd w:val="clear" w:color="auto" w:fill="auto"/>
                <w:lang w:eastAsia="zh-CN"/>
              </w:rPr>
              <w:t>（</w:t>
            </w:r>
            <w:r>
              <w:rPr>
                <w:rFonts w:hint="eastAsia" w:ascii="方正仿宋_GB2312" w:hAnsi="方正仿宋_GB2312" w:eastAsia="方正仿宋_GB2312" w:cs="方正仿宋_GB2312"/>
                <w:b/>
                <w:bCs/>
                <w:color w:val="auto"/>
                <w:sz w:val="21"/>
                <w:szCs w:val="21"/>
                <w:shd w:val="clear" w:color="auto" w:fill="auto"/>
                <w:lang w:val="en-US" w:eastAsia="zh-CN"/>
              </w:rPr>
              <w:t>%</w:t>
            </w:r>
            <w:r>
              <w:rPr>
                <w:rFonts w:hint="eastAsia" w:ascii="方正仿宋_GB2312" w:hAnsi="方正仿宋_GB2312" w:eastAsia="方正仿宋_GB2312" w:cs="方正仿宋_GB2312"/>
                <w:b/>
                <w:bCs/>
                <w:color w:val="auto"/>
                <w:sz w:val="21"/>
                <w:szCs w:val="21"/>
                <w:shd w:val="clear" w:color="auto" w:fill="auto"/>
                <w:lang w:eastAsia="zh-CN"/>
              </w:rPr>
              <w:t>）</w:t>
            </w:r>
          </w:p>
        </w:tc>
      </w:tr>
      <w:tr>
        <w:trPr>
          <w:cantSplit/>
          <w:trHeight w:val="454" w:hRule="atLeast"/>
          <w:jc w:val="center"/>
        </w:trPr>
        <w:tc>
          <w:tcPr>
            <w:tcW w:w="1511" w:type="dxa"/>
            <w:tcBorders>
              <w:top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工管</w:t>
            </w:r>
          </w:p>
        </w:tc>
        <w:tc>
          <w:tcPr>
            <w:tcW w:w="1245" w:type="dxa"/>
            <w:tcBorders>
              <w:top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115</w:t>
            </w:r>
          </w:p>
        </w:tc>
        <w:tc>
          <w:tcPr>
            <w:tcW w:w="1232" w:type="dxa"/>
            <w:tcBorders>
              <w:top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16.7</w:t>
            </w:r>
          </w:p>
        </w:tc>
        <w:tc>
          <w:tcPr>
            <w:tcW w:w="2024" w:type="dxa"/>
            <w:tcBorders>
              <w:top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16.7</w:t>
            </w:r>
          </w:p>
        </w:tc>
        <w:tc>
          <w:tcPr>
            <w:tcW w:w="2042" w:type="dxa"/>
            <w:tcBorders>
              <w:top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16.7</w:t>
            </w:r>
          </w:p>
        </w:tc>
      </w:tr>
      <w:tr>
        <w:trPr>
          <w:cantSplit/>
          <w:trHeight w:val="454" w:hRule="atLeast"/>
          <w:jc w:val="center"/>
        </w:trPr>
        <w:tc>
          <w:tcPr>
            <w:tcW w:w="151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人力</w:t>
            </w:r>
          </w:p>
        </w:tc>
        <w:tc>
          <w:tcPr>
            <w:tcW w:w="124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103</w:t>
            </w:r>
          </w:p>
        </w:tc>
        <w:tc>
          <w:tcPr>
            <w:tcW w:w="12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14.9</w:t>
            </w:r>
          </w:p>
        </w:tc>
        <w:tc>
          <w:tcPr>
            <w:tcW w:w="2024"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14.9</w:t>
            </w:r>
          </w:p>
        </w:tc>
        <w:tc>
          <w:tcPr>
            <w:tcW w:w="204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31.6</w:t>
            </w:r>
          </w:p>
        </w:tc>
      </w:tr>
      <w:tr>
        <w:trPr>
          <w:cantSplit/>
          <w:trHeight w:val="454" w:hRule="atLeast"/>
          <w:jc w:val="center"/>
        </w:trPr>
        <w:tc>
          <w:tcPr>
            <w:tcW w:w="151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市营</w:t>
            </w:r>
          </w:p>
        </w:tc>
        <w:tc>
          <w:tcPr>
            <w:tcW w:w="124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100</w:t>
            </w:r>
          </w:p>
        </w:tc>
        <w:tc>
          <w:tcPr>
            <w:tcW w:w="12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14.5</w:t>
            </w:r>
          </w:p>
        </w:tc>
        <w:tc>
          <w:tcPr>
            <w:tcW w:w="2024"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14.5</w:t>
            </w:r>
          </w:p>
        </w:tc>
        <w:tc>
          <w:tcPr>
            <w:tcW w:w="204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46.1</w:t>
            </w:r>
          </w:p>
        </w:tc>
      </w:tr>
      <w:tr>
        <w:trPr>
          <w:cantSplit/>
          <w:trHeight w:val="454" w:hRule="atLeast"/>
          <w:jc w:val="center"/>
        </w:trPr>
        <w:tc>
          <w:tcPr>
            <w:tcW w:w="151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财务</w:t>
            </w:r>
          </w:p>
        </w:tc>
        <w:tc>
          <w:tcPr>
            <w:tcW w:w="124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202</w:t>
            </w:r>
          </w:p>
        </w:tc>
        <w:tc>
          <w:tcPr>
            <w:tcW w:w="12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29.3</w:t>
            </w:r>
          </w:p>
        </w:tc>
        <w:tc>
          <w:tcPr>
            <w:tcW w:w="2024"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29.3</w:t>
            </w:r>
          </w:p>
        </w:tc>
        <w:tc>
          <w:tcPr>
            <w:tcW w:w="204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75.4</w:t>
            </w:r>
          </w:p>
        </w:tc>
      </w:tr>
      <w:tr>
        <w:trPr>
          <w:cantSplit/>
          <w:trHeight w:val="454" w:hRule="atLeast"/>
          <w:jc w:val="center"/>
        </w:trPr>
        <w:tc>
          <w:tcPr>
            <w:tcW w:w="151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会计</w:t>
            </w:r>
          </w:p>
        </w:tc>
        <w:tc>
          <w:tcPr>
            <w:tcW w:w="124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170</w:t>
            </w:r>
          </w:p>
        </w:tc>
        <w:tc>
          <w:tcPr>
            <w:tcW w:w="12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24.6</w:t>
            </w:r>
          </w:p>
        </w:tc>
        <w:tc>
          <w:tcPr>
            <w:tcW w:w="2024"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24.6</w:t>
            </w:r>
          </w:p>
        </w:tc>
        <w:tc>
          <w:tcPr>
            <w:tcW w:w="204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100.0</w:t>
            </w:r>
          </w:p>
        </w:tc>
      </w:tr>
      <w:tr>
        <w:trPr>
          <w:cantSplit/>
          <w:trHeight w:val="454" w:hRule="atLeast"/>
          <w:jc w:val="center"/>
        </w:trPr>
        <w:tc>
          <w:tcPr>
            <w:tcW w:w="1511" w:type="dxa"/>
            <w:tcBorders>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总计</w:t>
            </w:r>
          </w:p>
        </w:tc>
        <w:tc>
          <w:tcPr>
            <w:tcW w:w="1245" w:type="dxa"/>
            <w:tcBorders>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690</w:t>
            </w:r>
          </w:p>
        </w:tc>
        <w:tc>
          <w:tcPr>
            <w:tcW w:w="1232" w:type="dxa"/>
            <w:tcBorders>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100.0</w:t>
            </w:r>
          </w:p>
        </w:tc>
        <w:tc>
          <w:tcPr>
            <w:tcW w:w="2024" w:type="dxa"/>
            <w:tcBorders>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100.0</w:t>
            </w:r>
          </w:p>
        </w:tc>
        <w:tc>
          <w:tcPr>
            <w:tcW w:w="2042" w:type="dxa"/>
            <w:tcBorders>
              <w:bottom w:val="single" w:color="auto" w:sz="4" w:space="0"/>
              <w:tl2br w:val="nil"/>
              <w:tr2bl w:val="nil"/>
            </w:tcBorders>
            <w:shd w:val="clear" w:color="auto" w:fill="FFFFFF"/>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shd w:val="clear" w:color="auto" w:fill="auto"/>
              </w:rPr>
            </w:pPr>
          </w:p>
        </w:tc>
      </w:tr>
    </w:tbl>
    <w:p>
      <w:pPr>
        <w:widowControl w:val="0"/>
        <w:numPr>
          <w:ilvl w:val="0"/>
          <w:numId w:val="0"/>
        </w:numPr>
        <w:spacing w:line="360" w:lineRule="auto"/>
        <w:jc w:val="both"/>
        <w:rPr>
          <w:rFonts w:hint="eastAsia" w:ascii="方正仿宋_GB2312" w:hAnsi="方正仿宋_GB2312" w:eastAsia="方正仿宋_GB2312" w:cs="方正仿宋_GB2312"/>
          <w:color w:val="auto"/>
          <w:sz w:val="21"/>
          <w:szCs w:val="21"/>
          <w:lang w:val="en-US" w:eastAsia="zh-CN"/>
        </w:rPr>
      </w:pPr>
    </w:p>
    <w:p>
      <w:pPr>
        <w:widowControl w:val="0"/>
        <w:numPr>
          <w:ilvl w:val="0"/>
          <w:numId w:val="0"/>
        </w:numPr>
        <w:spacing w:line="360" w:lineRule="auto"/>
        <w:jc w:val="both"/>
        <w:rPr>
          <w:rFonts w:hint="eastAsia" w:ascii="方正仿宋_GB2312" w:hAnsi="方正仿宋_GB2312" w:eastAsia="方正仿宋_GB2312" w:cs="方正仿宋_GB2312"/>
          <w:b/>
          <w:bCs/>
          <w:color w:val="auto"/>
          <w:sz w:val="21"/>
          <w:szCs w:val="21"/>
          <w:lang w:val="en-US" w:eastAsia="zh-CN"/>
        </w:rPr>
      </w:pPr>
      <w:r>
        <w:rPr>
          <w:rFonts w:hint="eastAsia" w:ascii="方正仿宋_GB2312" w:hAnsi="方正仿宋_GB2312" w:eastAsia="方正仿宋_GB2312" w:cs="方正仿宋_GB2312"/>
          <w:b/>
          <w:bCs/>
          <w:color w:val="auto"/>
          <w:sz w:val="21"/>
          <w:szCs w:val="21"/>
          <w:lang w:val="en-US" w:eastAsia="zh-CN"/>
        </w:rPr>
        <w:t>三、数据分析和主要结论</w:t>
      </w:r>
    </w:p>
    <w:p>
      <w:pPr>
        <w:numPr>
          <w:ilvl w:val="0"/>
          <w:numId w:val="0"/>
        </w:numPr>
        <w:spacing w:line="360" w:lineRule="auto"/>
        <w:ind w:leftChars="0"/>
        <w:rPr>
          <w:rFonts w:hint="default" w:ascii="方正仿宋_GB2312" w:hAnsi="方正仿宋_GB2312" w:eastAsia="方正仿宋_GB2312" w:cs="方正仿宋_GB2312"/>
          <w:b/>
          <w:bCs/>
          <w:color w:val="auto"/>
          <w:sz w:val="21"/>
          <w:szCs w:val="21"/>
          <w:lang w:val="en-US" w:eastAsia="zh-CN"/>
        </w:rPr>
      </w:pPr>
      <w:r>
        <w:rPr>
          <w:rFonts w:hint="eastAsia" w:ascii="方正仿宋_GB2312" w:hAnsi="方正仿宋_GB2312" w:eastAsia="方正仿宋_GB2312" w:cs="方正仿宋_GB2312"/>
          <w:b/>
          <w:bCs/>
          <w:color w:val="auto"/>
          <w:sz w:val="21"/>
          <w:szCs w:val="21"/>
          <w:lang w:val="en-US" w:eastAsia="zh-CN"/>
        </w:rPr>
        <w:t>（一）“岗位-专业”一致性分析</w:t>
      </w:r>
    </w:p>
    <w:p>
      <w:pPr>
        <w:numPr>
          <w:ilvl w:val="0"/>
          <w:numId w:val="0"/>
        </w:numPr>
        <w:spacing w:line="360" w:lineRule="auto"/>
        <w:ind w:leftChars="0"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根据管理类专业学生的就业实习岗位和具体工作，结合专业学习内容及培养方案规定的能力和目标，大学生就业实习岗位和专业进行了一致性匹配分析，专业和实习-专业一致性的交叉分析结果如表2、表3：</w:t>
      </w:r>
    </w:p>
    <w:p>
      <w:pPr>
        <w:numPr>
          <w:ilvl w:val="0"/>
          <w:numId w:val="0"/>
        </w:numPr>
        <w:spacing w:line="360" w:lineRule="auto"/>
        <w:ind w:leftChars="0" w:firstLine="420" w:firstLineChars="200"/>
        <w:rPr>
          <w:rFonts w:hint="eastAsia" w:ascii="方正仿宋_GB2312" w:hAnsi="方正仿宋_GB2312" w:eastAsia="方正仿宋_GB2312" w:cs="方正仿宋_GB2312"/>
          <w:color w:val="auto"/>
          <w:sz w:val="21"/>
          <w:szCs w:val="21"/>
          <w:lang w:val="en-US" w:eastAsia="zh-CN"/>
        </w:rPr>
      </w:pPr>
    </w:p>
    <w:p>
      <w:pPr>
        <w:spacing w:beforeLines="0" w:afterLines="0" w:line="360" w:lineRule="auto"/>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表2. 实习-专业一致性差异分析</w:t>
      </w:r>
    </w:p>
    <w:tbl>
      <w:tblPr>
        <w:tblStyle w:val="8"/>
        <w:tblW w:w="8119" w:type="dxa"/>
        <w:jc w:val="center"/>
        <w:tblBorders>
          <w:top w:val="single" w:color="000000" w:sz="8" w:space="0"/>
          <w:left w:val="none" w:color="auto" w:sz="0"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5"/>
        <w:gridCol w:w="2871"/>
        <w:gridCol w:w="1650"/>
        <w:gridCol w:w="1357"/>
        <w:gridCol w:w="1256"/>
      </w:tblGrid>
      <w:tr>
        <w:trPr>
          <w:cantSplit/>
          <w:jc w:val="center"/>
        </w:trPr>
        <w:tc>
          <w:tcPr>
            <w:tcW w:w="3856" w:type="dxa"/>
            <w:gridSpan w:val="2"/>
            <w:vMerge w:val="restart"/>
            <w:tcBorders>
              <w:top w:val="single" w:color="auto" w:sz="4" w:space="0"/>
              <w:left w:val="nil"/>
              <w:bottom w:val="single" w:color="auto" w:sz="4" w:space="0"/>
              <w:right w:val="nil"/>
              <w:tl2br w:val="nil"/>
              <w:tr2bl w:val="nil"/>
            </w:tcBorders>
            <w:shd w:val="clear" w:color="auto" w:fill="FFFFFF"/>
            <w:noWrap w:val="0"/>
            <w:vAlign w:val="center"/>
          </w:tcPr>
          <w:p>
            <w:pPr>
              <w:spacing w:beforeLines="0" w:afterLines="0" w:line="360" w:lineRule="auto"/>
              <w:jc w:val="center"/>
              <w:rPr>
                <w:rFonts w:hint="default"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专业和基数</w:t>
            </w:r>
          </w:p>
        </w:tc>
        <w:tc>
          <w:tcPr>
            <w:tcW w:w="3007" w:type="dxa"/>
            <w:gridSpan w:val="2"/>
            <w:tcBorders>
              <w:top w:val="single" w:color="auto" w:sz="4" w:space="0"/>
              <w:left w:val="nil"/>
              <w:bottom w:val="single" w:color="auto" w:sz="4" w:space="0"/>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lang w:val="en-US"/>
              </w:rPr>
            </w:pPr>
            <w:r>
              <w:rPr>
                <w:rFonts w:hint="eastAsia" w:ascii="方正仿宋_GB2312" w:hAnsi="方正仿宋_GB2312" w:eastAsia="方正仿宋_GB2312" w:cs="方正仿宋_GB2312"/>
                <w:color w:val="auto"/>
                <w:sz w:val="21"/>
                <w:szCs w:val="21"/>
                <w:lang w:val="en-US" w:eastAsia="zh-CN"/>
              </w:rPr>
              <w:t>实习-专业一致性</w:t>
            </w:r>
          </w:p>
        </w:tc>
        <w:tc>
          <w:tcPr>
            <w:tcW w:w="1256" w:type="dxa"/>
            <w:vMerge w:val="restart"/>
            <w:tcBorders>
              <w:top w:val="single" w:color="auto" w:sz="4" w:space="0"/>
              <w:left w:val="nil"/>
              <w:bottom w:val="single" w:color="auto" w:sz="4" w:space="0"/>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总计</w:t>
            </w:r>
          </w:p>
        </w:tc>
      </w:tr>
      <w:tr>
        <w:trPr>
          <w:cantSplit/>
          <w:jc w:val="center"/>
        </w:trPr>
        <w:tc>
          <w:tcPr>
            <w:tcW w:w="3856" w:type="dxa"/>
            <w:gridSpan w:val="2"/>
            <w:vMerge w:val="continue"/>
            <w:tcBorders>
              <w:top w:val="single" w:color="auto" w:sz="4" w:space="0"/>
              <w:left w:val="nil"/>
              <w:bottom w:val="nil"/>
              <w:right w:val="nil"/>
              <w:tl2br w:val="nil"/>
              <w:tr2bl w:val="nil"/>
            </w:tcBorders>
            <w:shd w:val="clear" w:color="auto" w:fill="FFFFFF"/>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rPr>
            </w:pPr>
          </w:p>
        </w:tc>
        <w:tc>
          <w:tcPr>
            <w:tcW w:w="1650" w:type="dxa"/>
            <w:tcBorders>
              <w:top w:val="single" w:color="auto" w:sz="4" w:space="0"/>
              <w:left w:val="nil"/>
              <w:bottom w:val="single" w:color="152935"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不一致</w:t>
            </w:r>
          </w:p>
        </w:tc>
        <w:tc>
          <w:tcPr>
            <w:tcW w:w="1357" w:type="dxa"/>
            <w:tcBorders>
              <w:top w:val="single" w:color="auto" w:sz="4" w:space="0"/>
              <w:left w:val="single" w:color="E0E0E0" w:sz="8" w:space="0"/>
              <w:bottom w:val="single" w:color="152935"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一致</w:t>
            </w:r>
          </w:p>
        </w:tc>
        <w:tc>
          <w:tcPr>
            <w:tcW w:w="1256" w:type="dxa"/>
            <w:vMerge w:val="continue"/>
            <w:tcBorders>
              <w:top w:val="single" w:color="auto" w:sz="4" w:space="0"/>
              <w:left w:val="single" w:color="E0E0E0" w:sz="8" w:space="0"/>
              <w:bottom w:val="nil"/>
              <w:right w:val="nil"/>
              <w:tl2br w:val="nil"/>
              <w:tr2bl w:val="nil"/>
            </w:tcBorders>
            <w:shd w:val="clear" w:color="auto" w:fill="FFFFFF"/>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rPr>
            </w:pPr>
          </w:p>
        </w:tc>
      </w:tr>
      <w:tr>
        <w:trPr>
          <w:cantSplit/>
          <w:jc w:val="center"/>
        </w:trPr>
        <w:tc>
          <w:tcPr>
            <w:tcW w:w="985" w:type="dxa"/>
            <w:vMerge w:val="restart"/>
            <w:tcBorders>
              <w:top w:val="single" w:color="152935" w:sz="8" w:space="0"/>
              <w:bottom w:val="nil"/>
              <w:right w:val="nil"/>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工管</w:t>
            </w:r>
          </w:p>
        </w:tc>
        <w:tc>
          <w:tcPr>
            <w:tcW w:w="2871" w:type="dxa"/>
            <w:tcBorders>
              <w:top w:val="single" w:color="152935" w:sz="8" w:space="0"/>
              <w:left w:val="nil"/>
              <w:bottom w:val="single" w:color="AEAEAE" w:sz="8" w:space="0"/>
              <w:right w:val="nil"/>
              <w:tl2br w:val="nil"/>
              <w:tr2bl w:val="nil"/>
            </w:tcBorders>
            <w:shd w:val="clear" w:color="auto" w:fill="auto"/>
            <w:noWrap w:val="0"/>
            <w:vAlign w:val="center"/>
          </w:tcPr>
          <w:p>
            <w:pPr>
              <w:spacing w:beforeLines="0" w:afterLines="0" w:line="360" w:lineRule="auto"/>
              <w:ind w:left="60" w:right="60"/>
              <w:jc w:val="left"/>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计数</w:t>
            </w:r>
          </w:p>
        </w:tc>
        <w:tc>
          <w:tcPr>
            <w:tcW w:w="1650" w:type="dxa"/>
            <w:tcBorders>
              <w:top w:val="single" w:color="152935" w:sz="8" w:space="0"/>
              <w:left w:val="nil"/>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62</w:t>
            </w:r>
          </w:p>
        </w:tc>
        <w:tc>
          <w:tcPr>
            <w:tcW w:w="1357"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53</w:t>
            </w:r>
          </w:p>
        </w:tc>
        <w:tc>
          <w:tcPr>
            <w:tcW w:w="1256" w:type="dxa"/>
            <w:tcBorders>
              <w:top w:val="single" w:color="152935" w:sz="8" w:space="0"/>
              <w:left w:val="single" w:color="E0E0E0" w:sz="8" w:space="0"/>
              <w:bottom w:val="single" w:color="AEAEAE" w:sz="8" w:space="0"/>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115</w:t>
            </w:r>
          </w:p>
        </w:tc>
      </w:tr>
      <w:tr>
        <w:trPr>
          <w:cantSplit/>
          <w:jc w:val="center"/>
        </w:trPr>
        <w:tc>
          <w:tcPr>
            <w:tcW w:w="985" w:type="dxa"/>
            <w:vMerge w:val="continue"/>
            <w:tcBorders>
              <w:top w:val="single" w:color="152935" w:sz="8" w:space="0"/>
              <w:bottom w:val="nil"/>
              <w:right w:val="nil"/>
              <w:tl2br w:val="nil"/>
              <w:tr2bl w:val="nil"/>
            </w:tcBorders>
            <w:shd w:val="clear" w:color="auto" w:fill="auto"/>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shd w:val="clear" w:color="auto" w:fill="auto"/>
              </w:rPr>
            </w:pPr>
          </w:p>
        </w:tc>
        <w:tc>
          <w:tcPr>
            <w:tcW w:w="2871" w:type="dxa"/>
            <w:tcBorders>
              <w:top w:val="single" w:color="AEAEAE" w:sz="8" w:space="0"/>
              <w:left w:val="nil"/>
              <w:bottom w:val="nil"/>
              <w:right w:val="nil"/>
              <w:tl2br w:val="nil"/>
              <w:tr2bl w:val="nil"/>
            </w:tcBorders>
            <w:shd w:val="clear" w:color="auto" w:fill="auto"/>
            <w:noWrap w:val="0"/>
            <w:vAlign w:val="center"/>
          </w:tcPr>
          <w:p>
            <w:pPr>
              <w:spacing w:beforeLines="0" w:afterLines="0" w:line="360" w:lineRule="auto"/>
              <w:ind w:left="60" w:right="60"/>
              <w:jc w:val="left"/>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占</w:t>
            </w:r>
            <w:r>
              <w:rPr>
                <w:rFonts w:hint="eastAsia" w:ascii="方正仿宋_GB2312" w:hAnsi="方正仿宋_GB2312" w:eastAsia="方正仿宋_GB2312" w:cs="方正仿宋_GB2312"/>
                <w:color w:val="auto"/>
                <w:sz w:val="21"/>
                <w:szCs w:val="21"/>
                <w:shd w:val="clear" w:color="auto" w:fill="auto"/>
                <w:lang w:val="en-US" w:eastAsia="zh-CN"/>
              </w:rPr>
              <w:t>学生总量</w:t>
            </w:r>
            <w:r>
              <w:rPr>
                <w:rFonts w:hint="eastAsia" w:ascii="方正仿宋_GB2312" w:hAnsi="方正仿宋_GB2312" w:eastAsia="方正仿宋_GB2312" w:cs="方正仿宋_GB2312"/>
                <w:color w:val="auto"/>
                <w:sz w:val="21"/>
                <w:szCs w:val="21"/>
                <w:shd w:val="clear" w:color="auto" w:fill="auto"/>
              </w:rPr>
              <w:t>的百分比</w:t>
            </w:r>
          </w:p>
        </w:tc>
        <w:tc>
          <w:tcPr>
            <w:tcW w:w="1650" w:type="dxa"/>
            <w:tcBorders>
              <w:top w:val="single" w:color="AEAEAE" w:sz="8" w:space="0"/>
              <w:left w:val="nil"/>
              <w:bottom w:val="nil"/>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53.9%</w:t>
            </w:r>
          </w:p>
        </w:tc>
        <w:tc>
          <w:tcPr>
            <w:tcW w:w="1357" w:type="dxa"/>
            <w:tcBorders>
              <w:top w:val="single" w:color="AEAEAE" w:sz="8" w:space="0"/>
              <w:left w:val="single" w:color="E0E0E0" w:sz="8" w:space="0"/>
              <w:bottom w:val="nil"/>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46.1%</w:t>
            </w:r>
          </w:p>
        </w:tc>
        <w:tc>
          <w:tcPr>
            <w:tcW w:w="1256" w:type="dxa"/>
            <w:tcBorders>
              <w:top w:val="single" w:color="AEAEAE" w:sz="8" w:space="0"/>
              <w:left w:val="single" w:color="E0E0E0" w:sz="8" w:space="0"/>
              <w:bottom w:val="nil"/>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r>
        <w:trPr>
          <w:cantSplit/>
          <w:jc w:val="center"/>
        </w:trPr>
        <w:tc>
          <w:tcPr>
            <w:tcW w:w="985" w:type="dxa"/>
            <w:vMerge w:val="restart"/>
            <w:tcBorders>
              <w:top w:val="single" w:color="AEAEAE" w:sz="8" w:space="0"/>
              <w:bottom w:val="nil"/>
              <w:right w:val="nil"/>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人力</w:t>
            </w:r>
          </w:p>
        </w:tc>
        <w:tc>
          <w:tcPr>
            <w:tcW w:w="2871" w:type="dxa"/>
            <w:tcBorders>
              <w:top w:val="single" w:color="AEAEAE" w:sz="8" w:space="0"/>
              <w:left w:val="nil"/>
              <w:bottom w:val="single" w:color="AEAEAE" w:sz="8" w:space="0"/>
              <w:right w:val="nil"/>
              <w:tl2br w:val="nil"/>
              <w:tr2bl w:val="nil"/>
            </w:tcBorders>
            <w:shd w:val="clear" w:color="auto" w:fill="auto"/>
            <w:noWrap w:val="0"/>
            <w:vAlign w:val="center"/>
          </w:tcPr>
          <w:p>
            <w:pPr>
              <w:spacing w:beforeLines="0" w:afterLines="0" w:line="360" w:lineRule="auto"/>
              <w:ind w:left="60" w:right="60"/>
              <w:jc w:val="left"/>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计数</w:t>
            </w:r>
          </w:p>
        </w:tc>
        <w:tc>
          <w:tcPr>
            <w:tcW w:w="1650" w:type="dxa"/>
            <w:tcBorders>
              <w:top w:val="single" w:color="AEAEAE" w:sz="8" w:space="0"/>
              <w:left w:val="nil"/>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7</w:t>
            </w:r>
          </w:p>
        </w:tc>
        <w:tc>
          <w:tcPr>
            <w:tcW w:w="1357"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96</w:t>
            </w:r>
          </w:p>
        </w:tc>
        <w:tc>
          <w:tcPr>
            <w:tcW w:w="1256" w:type="dxa"/>
            <w:tcBorders>
              <w:top w:val="single" w:color="AEAEAE" w:sz="8" w:space="0"/>
              <w:left w:val="single" w:color="E0E0E0" w:sz="8" w:space="0"/>
              <w:bottom w:val="single" w:color="AEAEAE" w:sz="8" w:space="0"/>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103</w:t>
            </w:r>
          </w:p>
        </w:tc>
      </w:tr>
      <w:tr>
        <w:trPr>
          <w:cantSplit/>
          <w:jc w:val="center"/>
        </w:trPr>
        <w:tc>
          <w:tcPr>
            <w:tcW w:w="985" w:type="dxa"/>
            <w:vMerge w:val="continue"/>
            <w:tcBorders>
              <w:top w:val="single" w:color="AEAEAE" w:sz="8" w:space="0"/>
              <w:bottom w:val="nil"/>
              <w:right w:val="nil"/>
              <w:tl2br w:val="nil"/>
              <w:tr2bl w:val="nil"/>
            </w:tcBorders>
            <w:shd w:val="clear" w:color="auto" w:fill="auto"/>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shd w:val="clear" w:color="auto" w:fill="auto"/>
              </w:rPr>
            </w:pPr>
          </w:p>
        </w:tc>
        <w:tc>
          <w:tcPr>
            <w:tcW w:w="2871" w:type="dxa"/>
            <w:tcBorders>
              <w:top w:val="single" w:color="AEAEAE" w:sz="8" w:space="0"/>
              <w:left w:val="nil"/>
              <w:bottom w:val="nil"/>
              <w:right w:val="nil"/>
              <w:tl2br w:val="nil"/>
              <w:tr2bl w:val="nil"/>
            </w:tcBorders>
            <w:shd w:val="clear" w:color="auto" w:fill="auto"/>
            <w:noWrap w:val="0"/>
            <w:vAlign w:val="center"/>
          </w:tcPr>
          <w:p>
            <w:pPr>
              <w:spacing w:beforeLines="0" w:afterLines="0" w:line="360" w:lineRule="auto"/>
              <w:ind w:left="60" w:right="60"/>
              <w:jc w:val="left"/>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占</w:t>
            </w:r>
            <w:r>
              <w:rPr>
                <w:rFonts w:hint="eastAsia" w:ascii="方正仿宋_GB2312" w:hAnsi="方正仿宋_GB2312" w:eastAsia="方正仿宋_GB2312" w:cs="方正仿宋_GB2312"/>
                <w:color w:val="auto"/>
                <w:sz w:val="21"/>
                <w:szCs w:val="21"/>
                <w:shd w:val="clear" w:color="auto" w:fill="auto"/>
                <w:lang w:val="en-US" w:eastAsia="zh-CN"/>
              </w:rPr>
              <w:t>学生总量</w:t>
            </w:r>
            <w:r>
              <w:rPr>
                <w:rFonts w:hint="eastAsia" w:ascii="方正仿宋_GB2312" w:hAnsi="方正仿宋_GB2312" w:eastAsia="方正仿宋_GB2312" w:cs="方正仿宋_GB2312"/>
                <w:color w:val="auto"/>
                <w:sz w:val="21"/>
                <w:szCs w:val="21"/>
                <w:shd w:val="clear" w:color="auto" w:fill="auto"/>
              </w:rPr>
              <w:t>的百分比</w:t>
            </w:r>
          </w:p>
        </w:tc>
        <w:tc>
          <w:tcPr>
            <w:tcW w:w="1650" w:type="dxa"/>
            <w:tcBorders>
              <w:top w:val="single" w:color="AEAEAE" w:sz="8" w:space="0"/>
              <w:left w:val="nil"/>
              <w:bottom w:val="nil"/>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6.8%</w:t>
            </w:r>
          </w:p>
        </w:tc>
        <w:tc>
          <w:tcPr>
            <w:tcW w:w="1357" w:type="dxa"/>
            <w:tcBorders>
              <w:top w:val="single" w:color="AEAEAE" w:sz="8" w:space="0"/>
              <w:left w:val="single" w:color="E0E0E0" w:sz="8" w:space="0"/>
              <w:bottom w:val="nil"/>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93.2%</w:t>
            </w:r>
          </w:p>
        </w:tc>
        <w:tc>
          <w:tcPr>
            <w:tcW w:w="1256" w:type="dxa"/>
            <w:tcBorders>
              <w:top w:val="single" w:color="AEAEAE" w:sz="8" w:space="0"/>
              <w:left w:val="single" w:color="E0E0E0" w:sz="8" w:space="0"/>
              <w:bottom w:val="nil"/>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r>
        <w:trPr>
          <w:cantSplit/>
          <w:jc w:val="center"/>
        </w:trPr>
        <w:tc>
          <w:tcPr>
            <w:tcW w:w="985" w:type="dxa"/>
            <w:vMerge w:val="restart"/>
            <w:tcBorders>
              <w:top w:val="single" w:color="AEAEAE" w:sz="8" w:space="0"/>
              <w:bottom w:val="nil"/>
              <w:right w:val="nil"/>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市营</w:t>
            </w:r>
          </w:p>
        </w:tc>
        <w:tc>
          <w:tcPr>
            <w:tcW w:w="2871" w:type="dxa"/>
            <w:tcBorders>
              <w:top w:val="single" w:color="AEAEAE" w:sz="8" w:space="0"/>
              <w:left w:val="nil"/>
              <w:bottom w:val="single" w:color="AEAEAE" w:sz="8" w:space="0"/>
              <w:right w:val="nil"/>
              <w:tl2br w:val="nil"/>
              <w:tr2bl w:val="nil"/>
            </w:tcBorders>
            <w:shd w:val="clear" w:color="auto" w:fill="auto"/>
            <w:noWrap w:val="0"/>
            <w:vAlign w:val="center"/>
          </w:tcPr>
          <w:p>
            <w:pPr>
              <w:spacing w:beforeLines="0" w:afterLines="0" w:line="360" w:lineRule="auto"/>
              <w:ind w:left="60" w:right="60"/>
              <w:jc w:val="left"/>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计数</w:t>
            </w:r>
          </w:p>
        </w:tc>
        <w:tc>
          <w:tcPr>
            <w:tcW w:w="1650" w:type="dxa"/>
            <w:tcBorders>
              <w:top w:val="single" w:color="AEAEAE" w:sz="8" w:space="0"/>
              <w:left w:val="nil"/>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w:t>
            </w:r>
          </w:p>
        </w:tc>
        <w:tc>
          <w:tcPr>
            <w:tcW w:w="1357"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80</w:t>
            </w:r>
          </w:p>
        </w:tc>
        <w:tc>
          <w:tcPr>
            <w:tcW w:w="1256" w:type="dxa"/>
            <w:tcBorders>
              <w:top w:val="single" w:color="AEAEAE" w:sz="8" w:space="0"/>
              <w:left w:val="single" w:color="E0E0E0" w:sz="8" w:space="0"/>
              <w:bottom w:val="single" w:color="AEAEAE" w:sz="8" w:space="0"/>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w:t>
            </w:r>
          </w:p>
        </w:tc>
      </w:tr>
      <w:tr>
        <w:trPr>
          <w:cantSplit/>
          <w:jc w:val="center"/>
        </w:trPr>
        <w:tc>
          <w:tcPr>
            <w:tcW w:w="985" w:type="dxa"/>
            <w:vMerge w:val="continue"/>
            <w:tcBorders>
              <w:top w:val="single" w:color="AEAEAE" w:sz="8" w:space="0"/>
              <w:bottom w:val="nil"/>
              <w:right w:val="nil"/>
              <w:tl2br w:val="nil"/>
              <w:tr2bl w:val="nil"/>
            </w:tcBorders>
            <w:shd w:val="clear" w:color="auto" w:fill="auto"/>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shd w:val="clear" w:color="auto" w:fill="auto"/>
              </w:rPr>
            </w:pPr>
          </w:p>
        </w:tc>
        <w:tc>
          <w:tcPr>
            <w:tcW w:w="2871" w:type="dxa"/>
            <w:tcBorders>
              <w:top w:val="single" w:color="AEAEAE" w:sz="8" w:space="0"/>
              <w:left w:val="nil"/>
              <w:bottom w:val="nil"/>
              <w:right w:val="nil"/>
              <w:tl2br w:val="nil"/>
              <w:tr2bl w:val="nil"/>
            </w:tcBorders>
            <w:shd w:val="clear" w:color="auto" w:fill="auto"/>
            <w:noWrap w:val="0"/>
            <w:vAlign w:val="center"/>
          </w:tcPr>
          <w:p>
            <w:pPr>
              <w:spacing w:beforeLines="0" w:afterLines="0" w:line="360" w:lineRule="auto"/>
              <w:ind w:left="60" w:right="60"/>
              <w:jc w:val="left"/>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占</w:t>
            </w:r>
            <w:r>
              <w:rPr>
                <w:rFonts w:hint="eastAsia" w:ascii="方正仿宋_GB2312" w:hAnsi="方正仿宋_GB2312" w:eastAsia="方正仿宋_GB2312" w:cs="方正仿宋_GB2312"/>
                <w:color w:val="auto"/>
                <w:sz w:val="21"/>
                <w:szCs w:val="21"/>
                <w:shd w:val="clear" w:color="auto" w:fill="auto"/>
                <w:lang w:val="en-US" w:eastAsia="zh-CN"/>
              </w:rPr>
              <w:t>学生总量</w:t>
            </w:r>
            <w:r>
              <w:rPr>
                <w:rFonts w:hint="eastAsia" w:ascii="方正仿宋_GB2312" w:hAnsi="方正仿宋_GB2312" w:eastAsia="方正仿宋_GB2312" w:cs="方正仿宋_GB2312"/>
                <w:color w:val="auto"/>
                <w:sz w:val="21"/>
                <w:szCs w:val="21"/>
                <w:shd w:val="clear" w:color="auto" w:fill="auto"/>
              </w:rPr>
              <w:t>的百分比</w:t>
            </w:r>
          </w:p>
        </w:tc>
        <w:tc>
          <w:tcPr>
            <w:tcW w:w="1650" w:type="dxa"/>
            <w:tcBorders>
              <w:top w:val="single" w:color="AEAEAE" w:sz="8" w:space="0"/>
              <w:left w:val="nil"/>
              <w:bottom w:val="nil"/>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20.0%</w:t>
            </w:r>
          </w:p>
        </w:tc>
        <w:tc>
          <w:tcPr>
            <w:tcW w:w="1357" w:type="dxa"/>
            <w:tcBorders>
              <w:top w:val="single" w:color="AEAEAE" w:sz="8" w:space="0"/>
              <w:left w:val="single" w:color="E0E0E0" w:sz="8" w:space="0"/>
              <w:bottom w:val="nil"/>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80.0%</w:t>
            </w:r>
          </w:p>
        </w:tc>
        <w:tc>
          <w:tcPr>
            <w:tcW w:w="1256" w:type="dxa"/>
            <w:tcBorders>
              <w:top w:val="single" w:color="AEAEAE" w:sz="8" w:space="0"/>
              <w:left w:val="single" w:color="E0E0E0" w:sz="8" w:space="0"/>
              <w:bottom w:val="nil"/>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r>
        <w:trPr>
          <w:cantSplit/>
          <w:jc w:val="center"/>
        </w:trPr>
        <w:tc>
          <w:tcPr>
            <w:tcW w:w="985" w:type="dxa"/>
            <w:vMerge w:val="restart"/>
            <w:tcBorders>
              <w:top w:val="single" w:color="AEAEAE" w:sz="8" w:space="0"/>
              <w:bottom w:val="nil"/>
              <w:right w:val="nil"/>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财务</w:t>
            </w:r>
          </w:p>
        </w:tc>
        <w:tc>
          <w:tcPr>
            <w:tcW w:w="2871" w:type="dxa"/>
            <w:tcBorders>
              <w:top w:val="single" w:color="AEAEAE" w:sz="8" w:space="0"/>
              <w:left w:val="nil"/>
              <w:bottom w:val="single" w:color="AEAEAE" w:sz="8" w:space="0"/>
              <w:right w:val="nil"/>
              <w:tl2br w:val="nil"/>
              <w:tr2bl w:val="nil"/>
            </w:tcBorders>
            <w:shd w:val="clear" w:color="auto" w:fill="auto"/>
            <w:noWrap w:val="0"/>
            <w:vAlign w:val="center"/>
          </w:tcPr>
          <w:p>
            <w:pPr>
              <w:spacing w:beforeLines="0" w:afterLines="0" w:line="360" w:lineRule="auto"/>
              <w:ind w:left="60" w:right="60"/>
              <w:jc w:val="left"/>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计数</w:t>
            </w:r>
          </w:p>
        </w:tc>
        <w:tc>
          <w:tcPr>
            <w:tcW w:w="1650" w:type="dxa"/>
            <w:tcBorders>
              <w:top w:val="single" w:color="AEAEAE" w:sz="8" w:space="0"/>
              <w:left w:val="nil"/>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74</w:t>
            </w:r>
          </w:p>
        </w:tc>
        <w:tc>
          <w:tcPr>
            <w:tcW w:w="1357"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128</w:t>
            </w:r>
          </w:p>
        </w:tc>
        <w:tc>
          <w:tcPr>
            <w:tcW w:w="1256" w:type="dxa"/>
            <w:tcBorders>
              <w:top w:val="single" w:color="AEAEAE" w:sz="8" w:space="0"/>
              <w:left w:val="single" w:color="E0E0E0" w:sz="8" w:space="0"/>
              <w:bottom w:val="single" w:color="AEAEAE" w:sz="8" w:space="0"/>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202</w:t>
            </w:r>
          </w:p>
        </w:tc>
      </w:tr>
      <w:tr>
        <w:trPr>
          <w:cantSplit/>
          <w:jc w:val="center"/>
        </w:trPr>
        <w:tc>
          <w:tcPr>
            <w:tcW w:w="985" w:type="dxa"/>
            <w:vMerge w:val="continue"/>
            <w:tcBorders>
              <w:top w:val="single" w:color="AEAEAE" w:sz="8" w:space="0"/>
              <w:bottom w:val="nil"/>
              <w:right w:val="nil"/>
              <w:tl2br w:val="nil"/>
              <w:tr2bl w:val="nil"/>
            </w:tcBorders>
            <w:shd w:val="clear" w:color="auto" w:fill="auto"/>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shd w:val="clear" w:color="auto" w:fill="auto"/>
              </w:rPr>
            </w:pPr>
          </w:p>
        </w:tc>
        <w:tc>
          <w:tcPr>
            <w:tcW w:w="2871" w:type="dxa"/>
            <w:tcBorders>
              <w:top w:val="single" w:color="AEAEAE" w:sz="8" w:space="0"/>
              <w:left w:val="nil"/>
              <w:bottom w:val="nil"/>
              <w:right w:val="nil"/>
              <w:tl2br w:val="nil"/>
              <w:tr2bl w:val="nil"/>
            </w:tcBorders>
            <w:shd w:val="clear" w:color="auto" w:fill="auto"/>
            <w:noWrap w:val="0"/>
            <w:vAlign w:val="center"/>
          </w:tcPr>
          <w:p>
            <w:pPr>
              <w:spacing w:beforeLines="0" w:afterLines="0" w:line="360" w:lineRule="auto"/>
              <w:ind w:left="60" w:right="60"/>
              <w:jc w:val="left"/>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占</w:t>
            </w:r>
            <w:r>
              <w:rPr>
                <w:rFonts w:hint="eastAsia" w:ascii="方正仿宋_GB2312" w:hAnsi="方正仿宋_GB2312" w:eastAsia="方正仿宋_GB2312" w:cs="方正仿宋_GB2312"/>
                <w:color w:val="auto"/>
                <w:sz w:val="21"/>
                <w:szCs w:val="21"/>
                <w:shd w:val="clear" w:color="auto" w:fill="auto"/>
                <w:lang w:val="en-US" w:eastAsia="zh-CN"/>
              </w:rPr>
              <w:t>学生总量</w:t>
            </w:r>
            <w:r>
              <w:rPr>
                <w:rFonts w:hint="eastAsia" w:ascii="方正仿宋_GB2312" w:hAnsi="方正仿宋_GB2312" w:eastAsia="方正仿宋_GB2312" w:cs="方正仿宋_GB2312"/>
                <w:color w:val="auto"/>
                <w:sz w:val="21"/>
                <w:szCs w:val="21"/>
                <w:shd w:val="clear" w:color="auto" w:fill="auto"/>
              </w:rPr>
              <w:t>的百分比</w:t>
            </w:r>
          </w:p>
        </w:tc>
        <w:tc>
          <w:tcPr>
            <w:tcW w:w="1650" w:type="dxa"/>
            <w:tcBorders>
              <w:top w:val="single" w:color="AEAEAE" w:sz="8" w:space="0"/>
              <w:left w:val="nil"/>
              <w:bottom w:val="nil"/>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36.6%</w:t>
            </w:r>
          </w:p>
        </w:tc>
        <w:tc>
          <w:tcPr>
            <w:tcW w:w="1357" w:type="dxa"/>
            <w:tcBorders>
              <w:top w:val="single" w:color="AEAEAE" w:sz="8" w:space="0"/>
              <w:left w:val="single" w:color="E0E0E0" w:sz="8" w:space="0"/>
              <w:bottom w:val="nil"/>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63.4%</w:t>
            </w:r>
          </w:p>
        </w:tc>
        <w:tc>
          <w:tcPr>
            <w:tcW w:w="1256" w:type="dxa"/>
            <w:tcBorders>
              <w:top w:val="single" w:color="AEAEAE" w:sz="8" w:space="0"/>
              <w:left w:val="single" w:color="E0E0E0" w:sz="8" w:space="0"/>
              <w:bottom w:val="nil"/>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r>
        <w:trPr>
          <w:cantSplit/>
          <w:jc w:val="center"/>
        </w:trPr>
        <w:tc>
          <w:tcPr>
            <w:tcW w:w="985" w:type="dxa"/>
            <w:vMerge w:val="restart"/>
            <w:tcBorders>
              <w:top w:val="single" w:color="AEAEAE" w:sz="8" w:space="0"/>
              <w:bottom w:val="nil"/>
              <w:right w:val="nil"/>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会计</w:t>
            </w:r>
          </w:p>
        </w:tc>
        <w:tc>
          <w:tcPr>
            <w:tcW w:w="2871" w:type="dxa"/>
            <w:tcBorders>
              <w:top w:val="single" w:color="AEAEAE" w:sz="8" w:space="0"/>
              <w:left w:val="nil"/>
              <w:bottom w:val="single" w:color="AEAEAE" w:sz="8" w:space="0"/>
              <w:right w:val="nil"/>
              <w:tl2br w:val="nil"/>
              <w:tr2bl w:val="nil"/>
            </w:tcBorders>
            <w:shd w:val="clear" w:color="auto" w:fill="auto"/>
            <w:noWrap w:val="0"/>
            <w:vAlign w:val="center"/>
          </w:tcPr>
          <w:p>
            <w:pPr>
              <w:spacing w:beforeLines="0" w:afterLines="0" w:line="360" w:lineRule="auto"/>
              <w:ind w:left="60" w:right="60"/>
              <w:jc w:val="left"/>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计数</w:t>
            </w:r>
          </w:p>
        </w:tc>
        <w:tc>
          <w:tcPr>
            <w:tcW w:w="1650" w:type="dxa"/>
            <w:tcBorders>
              <w:top w:val="single" w:color="AEAEAE" w:sz="8" w:space="0"/>
              <w:left w:val="nil"/>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126</w:t>
            </w:r>
          </w:p>
        </w:tc>
        <w:tc>
          <w:tcPr>
            <w:tcW w:w="1357"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44</w:t>
            </w:r>
          </w:p>
        </w:tc>
        <w:tc>
          <w:tcPr>
            <w:tcW w:w="1256" w:type="dxa"/>
            <w:tcBorders>
              <w:top w:val="single" w:color="AEAEAE" w:sz="8" w:space="0"/>
              <w:left w:val="single" w:color="E0E0E0" w:sz="8" w:space="0"/>
              <w:bottom w:val="single" w:color="AEAEAE" w:sz="8" w:space="0"/>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170</w:t>
            </w:r>
          </w:p>
        </w:tc>
      </w:tr>
      <w:tr>
        <w:trPr>
          <w:cantSplit/>
          <w:jc w:val="center"/>
        </w:trPr>
        <w:tc>
          <w:tcPr>
            <w:tcW w:w="985" w:type="dxa"/>
            <w:vMerge w:val="continue"/>
            <w:tcBorders>
              <w:top w:val="single" w:color="AEAEAE" w:sz="8" w:space="0"/>
              <w:bottom w:val="nil"/>
              <w:right w:val="nil"/>
              <w:tl2br w:val="nil"/>
              <w:tr2bl w:val="nil"/>
            </w:tcBorders>
            <w:shd w:val="clear" w:color="auto" w:fill="auto"/>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shd w:val="clear" w:color="auto" w:fill="auto"/>
              </w:rPr>
            </w:pPr>
          </w:p>
        </w:tc>
        <w:tc>
          <w:tcPr>
            <w:tcW w:w="2871" w:type="dxa"/>
            <w:tcBorders>
              <w:top w:val="single" w:color="AEAEAE" w:sz="8" w:space="0"/>
              <w:left w:val="nil"/>
              <w:bottom w:val="nil"/>
              <w:right w:val="nil"/>
              <w:tl2br w:val="nil"/>
              <w:tr2bl w:val="nil"/>
            </w:tcBorders>
            <w:shd w:val="clear" w:color="auto" w:fill="auto"/>
            <w:noWrap w:val="0"/>
            <w:vAlign w:val="center"/>
          </w:tcPr>
          <w:p>
            <w:pPr>
              <w:spacing w:beforeLines="0" w:afterLines="0" w:line="360" w:lineRule="auto"/>
              <w:ind w:left="60" w:right="60"/>
              <w:jc w:val="left"/>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占</w:t>
            </w:r>
            <w:r>
              <w:rPr>
                <w:rFonts w:hint="eastAsia" w:ascii="方正仿宋_GB2312" w:hAnsi="方正仿宋_GB2312" w:eastAsia="方正仿宋_GB2312" w:cs="方正仿宋_GB2312"/>
                <w:color w:val="auto"/>
                <w:sz w:val="21"/>
                <w:szCs w:val="21"/>
                <w:shd w:val="clear" w:color="auto" w:fill="auto"/>
                <w:lang w:val="en-US" w:eastAsia="zh-CN"/>
              </w:rPr>
              <w:t>学生总量</w:t>
            </w:r>
            <w:r>
              <w:rPr>
                <w:rFonts w:hint="eastAsia" w:ascii="方正仿宋_GB2312" w:hAnsi="方正仿宋_GB2312" w:eastAsia="方正仿宋_GB2312" w:cs="方正仿宋_GB2312"/>
                <w:color w:val="auto"/>
                <w:sz w:val="21"/>
                <w:szCs w:val="21"/>
                <w:shd w:val="clear" w:color="auto" w:fill="auto"/>
              </w:rPr>
              <w:t>的百分比</w:t>
            </w:r>
          </w:p>
        </w:tc>
        <w:tc>
          <w:tcPr>
            <w:tcW w:w="1650" w:type="dxa"/>
            <w:tcBorders>
              <w:top w:val="single" w:color="AEAEAE" w:sz="8" w:space="0"/>
              <w:left w:val="nil"/>
              <w:bottom w:val="nil"/>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74.1%</w:t>
            </w:r>
          </w:p>
        </w:tc>
        <w:tc>
          <w:tcPr>
            <w:tcW w:w="1357" w:type="dxa"/>
            <w:tcBorders>
              <w:top w:val="single" w:color="AEAEAE" w:sz="8" w:space="0"/>
              <w:left w:val="single" w:color="E0E0E0" w:sz="8" w:space="0"/>
              <w:bottom w:val="nil"/>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25.9%</w:t>
            </w:r>
          </w:p>
        </w:tc>
        <w:tc>
          <w:tcPr>
            <w:tcW w:w="1256" w:type="dxa"/>
            <w:tcBorders>
              <w:top w:val="single" w:color="AEAEAE" w:sz="8" w:space="0"/>
              <w:left w:val="single" w:color="E0E0E0" w:sz="8" w:space="0"/>
              <w:bottom w:val="nil"/>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r>
        <w:trPr>
          <w:cantSplit/>
          <w:jc w:val="center"/>
        </w:trPr>
        <w:tc>
          <w:tcPr>
            <w:tcW w:w="985" w:type="dxa"/>
            <w:vMerge w:val="restart"/>
            <w:tcBorders>
              <w:top w:val="single" w:color="AEAEAE" w:sz="8" w:space="0"/>
              <w:bottom w:val="single" w:color="152935" w:sz="8" w:space="0"/>
              <w:right w:val="nil"/>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总计</w:t>
            </w:r>
          </w:p>
        </w:tc>
        <w:tc>
          <w:tcPr>
            <w:tcW w:w="2871" w:type="dxa"/>
            <w:tcBorders>
              <w:top w:val="single" w:color="AEAEAE" w:sz="8" w:space="0"/>
              <w:left w:val="nil"/>
              <w:bottom w:val="single" w:color="AEAEAE" w:sz="8" w:space="0"/>
              <w:right w:val="nil"/>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计数</w:t>
            </w:r>
          </w:p>
        </w:tc>
        <w:tc>
          <w:tcPr>
            <w:tcW w:w="1650" w:type="dxa"/>
            <w:tcBorders>
              <w:top w:val="single" w:color="AEAEAE" w:sz="8" w:space="0"/>
              <w:left w:val="nil"/>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289</w:t>
            </w:r>
          </w:p>
        </w:tc>
        <w:tc>
          <w:tcPr>
            <w:tcW w:w="1357"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401</w:t>
            </w:r>
          </w:p>
        </w:tc>
        <w:tc>
          <w:tcPr>
            <w:tcW w:w="1256" w:type="dxa"/>
            <w:tcBorders>
              <w:top w:val="single" w:color="AEAEAE" w:sz="8" w:space="0"/>
              <w:left w:val="single" w:color="E0E0E0" w:sz="8" w:space="0"/>
              <w:bottom w:val="single" w:color="AEAEAE" w:sz="8" w:space="0"/>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690</w:t>
            </w:r>
          </w:p>
        </w:tc>
      </w:tr>
      <w:tr>
        <w:trPr>
          <w:cantSplit/>
          <w:jc w:val="center"/>
        </w:trPr>
        <w:tc>
          <w:tcPr>
            <w:tcW w:w="985" w:type="dxa"/>
            <w:vMerge w:val="continue"/>
            <w:tcBorders>
              <w:top w:val="single" w:color="AEAEAE" w:sz="8" w:space="0"/>
              <w:bottom w:val="single" w:color="152935" w:sz="8" w:space="0"/>
              <w:right w:val="nil"/>
              <w:tl2br w:val="nil"/>
              <w:tr2bl w:val="nil"/>
            </w:tcBorders>
            <w:shd w:val="clear" w:color="auto" w:fill="auto"/>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shd w:val="clear" w:color="auto" w:fill="auto"/>
              </w:rPr>
            </w:pPr>
          </w:p>
        </w:tc>
        <w:tc>
          <w:tcPr>
            <w:tcW w:w="2871" w:type="dxa"/>
            <w:tcBorders>
              <w:top w:val="single" w:color="AEAEAE" w:sz="8" w:space="0"/>
              <w:left w:val="nil"/>
              <w:bottom w:val="single" w:color="152935" w:sz="8" w:space="0"/>
              <w:right w:val="nil"/>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shd w:val="clear" w:color="auto" w:fill="auto"/>
              </w:rPr>
            </w:pPr>
            <w:r>
              <w:rPr>
                <w:rFonts w:hint="eastAsia" w:ascii="方正仿宋_GB2312" w:hAnsi="方正仿宋_GB2312" w:eastAsia="方正仿宋_GB2312" w:cs="方正仿宋_GB2312"/>
                <w:color w:val="auto"/>
                <w:sz w:val="21"/>
                <w:szCs w:val="21"/>
                <w:shd w:val="clear" w:color="auto" w:fill="auto"/>
              </w:rPr>
              <w:t>占</w:t>
            </w:r>
            <w:r>
              <w:rPr>
                <w:rFonts w:hint="eastAsia" w:ascii="方正仿宋_GB2312" w:hAnsi="方正仿宋_GB2312" w:eastAsia="方正仿宋_GB2312" w:cs="方正仿宋_GB2312"/>
                <w:color w:val="auto"/>
                <w:sz w:val="21"/>
                <w:szCs w:val="21"/>
                <w:shd w:val="clear" w:color="auto" w:fill="auto"/>
                <w:lang w:val="en-US" w:eastAsia="zh-CN"/>
              </w:rPr>
              <w:t>学生总量</w:t>
            </w:r>
            <w:r>
              <w:rPr>
                <w:rFonts w:hint="eastAsia" w:ascii="方正仿宋_GB2312" w:hAnsi="方正仿宋_GB2312" w:eastAsia="方正仿宋_GB2312" w:cs="方正仿宋_GB2312"/>
                <w:color w:val="auto"/>
                <w:sz w:val="21"/>
                <w:szCs w:val="21"/>
                <w:shd w:val="clear" w:color="auto" w:fill="auto"/>
              </w:rPr>
              <w:t>的百分</w:t>
            </w:r>
          </w:p>
        </w:tc>
        <w:tc>
          <w:tcPr>
            <w:tcW w:w="1650" w:type="dxa"/>
            <w:tcBorders>
              <w:top w:val="single" w:color="AEAEAE" w:sz="8" w:space="0"/>
              <w:left w:val="nil"/>
              <w:bottom w:val="single" w:color="152935"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41.9%</w:t>
            </w:r>
          </w:p>
        </w:tc>
        <w:tc>
          <w:tcPr>
            <w:tcW w:w="1357"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58.1%</w:t>
            </w:r>
          </w:p>
        </w:tc>
        <w:tc>
          <w:tcPr>
            <w:tcW w:w="1256" w:type="dxa"/>
            <w:tcBorders>
              <w:top w:val="single" w:color="AEAEAE" w:sz="8" w:space="0"/>
              <w:left w:val="single" w:color="E0E0E0" w:sz="8" w:space="0"/>
              <w:bottom w:val="single" w:color="152935" w:sz="8" w:space="0"/>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bl>
    <w:p>
      <w:pPr>
        <w:spacing w:beforeLines="0" w:afterLines="0" w:line="360" w:lineRule="auto"/>
        <w:rPr>
          <w:rFonts w:hint="eastAsia" w:ascii="方正仿宋_GB2312" w:hAnsi="方正仿宋_GB2312" w:eastAsia="方正仿宋_GB2312" w:cs="方正仿宋_GB2312"/>
          <w:color w:val="auto"/>
          <w:sz w:val="21"/>
          <w:szCs w:val="21"/>
        </w:rPr>
      </w:pPr>
    </w:p>
    <w:p>
      <w:pPr>
        <w:spacing w:beforeLines="0" w:afterLines="0" w:line="360" w:lineRule="auto"/>
        <w:jc w:val="center"/>
        <w:rPr>
          <w:rFonts w:hint="default"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表3. 专业-岗位一致性的卡方检验</w:t>
      </w:r>
    </w:p>
    <w:tbl>
      <w:tblPr>
        <w:tblStyle w:val="8"/>
        <w:tblW w:w="804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11"/>
        <w:gridCol w:w="1076"/>
        <w:gridCol w:w="1029"/>
        <w:gridCol w:w="3830"/>
      </w:tblGrid>
      <w:tr>
        <w:trPr>
          <w:cantSplit/>
          <w:jc w:val="center"/>
        </w:trPr>
        <w:tc>
          <w:tcPr>
            <w:tcW w:w="2111" w:type="dxa"/>
            <w:tcBorders>
              <w:top w:val="single" w:color="auto" w:sz="4" w:space="0"/>
              <w:left w:val="nil"/>
              <w:bottom w:val="single" w:color="auto" w:sz="4" w:space="0"/>
              <w:right w:val="nil"/>
              <w:tl2br w:val="nil"/>
              <w:tr2bl w:val="nil"/>
            </w:tcBorders>
            <w:shd w:val="clear" w:color="auto" w:fill="FFFFFF"/>
            <w:noWrap w:val="0"/>
            <w:vAlign w:val="bottom"/>
          </w:tcPr>
          <w:p>
            <w:pPr>
              <w:spacing w:beforeLines="0" w:afterLines="0" w:line="360" w:lineRule="auto"/>
              <w:rPr>
                <w:rFonts w:hint="eastAsia" w:ascii="方正仿宋_GB2312" w:hAnsi="方正仿宋_GB2312" w:eastAsia="方正仿宋_GB2312" w:cs="方正仿宋_GB2312"/>
                <w:color w:val="auto"/>
                <w:sz w:val="21"/>
                <w:szCs w:val="21"/>
              </w:rPr>
            </w:pPr>
          </w:p>
        </w:tc>
        <w:tc>
          <w:tcPr>
            <w:tcW w:w="1076" w:type="dxa"/>
            <w:tcBorders>
              <w:top w:val="single" w:color="auto" w:sz="4" w:space="0"/>
              <w:left w:val="nil"/>
              <w:bottom w:val="single" w:color="auto" w:sz="4" w:space="0"/>
              <w:right w:val="nil"/>
              <w:tl2br w:val="nil"/>
              <w:tr2bl w:val="nil"/>
            </w:tcBorders>
            <w:shd w:val="clear" w:color="auto" w:fill="FFFFFF"/>
            <w:noWrap w:val="0"/>
            <w:vAlign w:val="bottom"/>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值</w:t>
            </w:r>
          </w:p>
        </w:tc>
        <w:tc>
          <w:tcPr>
            <w:tcW w:w="1029" w:type="dxa"/>
            <w:tcBorders>
              <w:top w:val="single" w:color="auto" w:sz="4" w:space="0"/>
              <w:left w:val="nil"/>
              <w:bottom w:val="single" w:color="auto" w:sz="4" w:space="0"/>
              <w:right w:val="nil"/>
              <w:tl2br w:val="nil"/>
              <w:tr2bl w:val="nil"/>
            </w:tcBorders>
            <w:shd w:val="clear" w:color="auto" w:fill="FFFFFF"/>
            <w:noWrap w:val="0"/>
            <w:vAlign w:val="bottom"/>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自由度</w:t>
            </w:r>
          </w:p>
        </w:tc>
        <w:tc>
          <w:tcPr>
            <w:tcW w:w="3830" w:type="dxa"/>
            <w:tcBorders>
              <w:top w:val="single" w:color="auto" w:sz="4" w:space="0"/>
              <w:left w:val="nil"/>
              <w:bottom w:val="single" w:color="auto" w:sz="4" w:space="0"/>
              <w:right w:val="nil"/>
              <w:tl2br w:val="nil"/>
              <w:tr2bl w:val="nil"/>
            </w:tcBorders>
            <w:shd w:val="clear" w:color="auto" w:fill="FFFFFF"/>
            <w:noWrap w:val="0"/>
            <w:vAlign w:val="bottom"/>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渐进显著性（双侧）</w:t>
            </w:r>
          </w:p>
        </w:tc>
      </w:tr>
      <w:tr>
        <w:trPr>
          <w:cantSplit/>
          <w:jc w:val="center"/>
        </w:trPr>
        <w:tc>
          <w:tcPr>
            <w:tcW w:w="2111" w:type="dxa"/>
            <w:tcBorders>
              <w:top w:val="single" w:color="auto" w:sz="4" w:space="0"/>
              <w:left w:val="nil"/>
              <w:bottom w:val="single" w:color="AEAEAE" w:sz="8" w:space="0"/>
              <w:right w:val="nil"/>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皮尔逊卡方</w:t>
            </w:r>
          </w:p>
        </w:tc>
        <w:tc>
          <w:tcPr>
            <w:tcW w:w="1076" w:type="dxa"/>
            <w:tcBorders>
              <w:top w:val="single" w:color="auto" w:sz="4" w:space="0"/>
              <w:left w:val="nil"/>
              <w:bottom w:val="single" w:color="AEAEAE" w:sz="8" w:space="0"/>
              <w:right w:val="single" w:color="E0E0E0" w:sz="8" w:space="0"/>
              <w:tl2br w:val="nil"/>
              <w:tr2bl w:val="nil"/>
            </w:tcBorders>
            <w:shd w:val="clear" w:color="auto" w:fill="FFFFFF"/>
            <w:noWrap w:val="0"/>
            <w:vAlign w:val="top"/>
          </w:tcPr>
          <w:p>
            <w:pPr>
              <w:spacing w:beforeLines="0" w:afterLines="0" w:line="360" w:lineRule="auto"/>
              <w:ind w:left="60" w:right="60"/>
              <w:jc w:val="righ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153.459</w:t>
            </w:r>
            <w:r>
              <w:rPr>
                <w:rFonts w:hint="eastAsia" w:ascii="方正仿宋_GB2312" w:hAnsi="方正仿宋_GB2312" w:eastAsia="方正仿宋_GB2312" w:cs="方正仿宋_GB2312"/>
                <w:color w:val="auto"/>
                <w:sz w:val="21"/>
                <w:szCs w:val="21"/>
                <w:vertAlign w:val="superscript"/>
              </w:rPr>
              <w:t>a</w:t>
            </w:r>
          </w:p>
        </w:tc>
        <w:tc>
          <w:tcPr>
            <w:tcW w:w="1029" w:type="dxa"/>
            <w:tcBorders>
              <w:top w:val="single" w:color="auto" w:sz="4"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60" w:lineRule="auto"/>
              <w:ind w:left="60" w:right="60"/>
              <w:jc w:val="righ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w:t>
            </w:r>
          </w:p>
        </w:tc>
        <w:tc>
          <w:tcPr>
            <w:tcW w:w="3830" w:type="dxa"/>
            <w:tcBorders>
              <w:top w:val="single" w:color="auto" w:sz="4" w:space="0"/>
              <w:left w:val="single" w:color="E0E0E0" w:sz="8" w:space="0"/>
              <w:bottom w:val="single" w:color="AEAEAE" w:sz="8" w:space="0"/>
              <w:right w:val="nil"/>
              <w:tl2br w:val="nil"/>
              <w:tr2bl w:val="nil"/>
            </w:tcBorders>
            <w:shd w:val="clear" w:color="auto" w:fill="FFFFFF"/>
            <w:noWrap w:val="0"/>
            <w:vAlign w:val="top"/>
          </w:tcPr>
          <w:p>
            <w:pPr>
              <w:spacing w:beforeLines="0" w:afterLines="0" w:line="360" w:lineRule="auto"/>
              <w:ind w:left="60" w:right="60"/>
              <w:jc w:val="righ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.000</w:t>
            </w:r>
          </w:p>
        </w:tc>
      </w:tr>
      <w:tr>
        <w:trPr>
          <w:cantSplit/>
          <w:jc w:val="center"/>
        </w:trPr>
        <w:tc>
          <w:tcPr>
            <w:tcW w:w="2111" w:type="dxa"/>
            <w:tcBorders>
              <w:top w:val="single" w:color="AEAEAE" w:sz="8" w:space="0"/>
              <w:left w:val="nil"/>
              <w:bottom w:val="single" w:color="AEAEAE" w:sz="8" w:space="0"/>
              <w:right w:val="nil"/>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似然比</w:t>
            </w:r>
          </w:p>
        </w:tc>
        <w:tc>
          <w:tcPr>
            <w:tcW w:w="1076"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60" w:lineRule="auto"/>
              <w:ind w:left="60" w:right="60"/>
              <w:jc w:val="righ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168.488</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60" w:lineRule="auto"/>
              <w:ind w:left="60" w:right="60"/>
              <w:jc w:val="righ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w:t>
            </w:r>
          </w:p>
        </w:tc>
        <w:tc>
          <w:tcPr>
            <w:tcW w:w="3830"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60" w:lineRule="auto"/>
              <w:ind w:left="60" w:right="60"/>
              <w:jc w:val="righ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.000</w:t>
            </w:r>
          </w:p>
        </w:tc>
      </w:tr>
      <w:tr>
        <w:trPr>
          <w:cantSplit/>
          <w:jc w:val="center"/>
        </w:trPr>
        <w:tc>
          <w:tcPr>
            <w:tcW w:w="2111" w:type="dxa"/>
            <w:tcBorders>
              <w:top w:val="single" w:color="AEAEAE" w:sz="8" w:space="0"/>
              <w:left w:val="nil"/>
              <w:bottom w:val="single" w:color="AEAEAE" w:sz="8" w:space="0"/>
              <w:right w:val="nil"/>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线性关联</w:t>
            </w:r>
          </w:p>
        </w:tc>
        <w:tc>
          <w:tcPr>
            <w:tcW w:w="1076"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60" w:lineRule="auto"/>
              <w:ind w:left="60" w:right="60"/>
              <w:jc w:val="righ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34.287</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60" w:lineRule="auto"/>
              <w:ind w:left="60" w:right="60"/>
              <w:jc w:val="righ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w:t>
            </w:r>
          </w:p>
        </w:tc>
        <w:tc>
          <w:tcPr>
            <w:tcW w:w="3830"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60" w:lineRule="auto"/>
              <w:ind w:left="60" w:right="60"/>
              <w:jc w:val="righ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.000</w:t>
            </w:r>
          </w:p>
        </w:tc>
      </w:tr>
      <w:tr>
        <w:trPr>
          <w:cantSplit/>
          <w:jc w:val="center"/>
        </w:trPr>
        <w:tc>
          <w:tcPr>
            <w:tcW w:w="2111" w:type="dxa"/>
            <w:tcBorders>
              <w:top w:val="single" w:color="AEAEAE" w:sz="8" w:space="0"/>
              <w:left w:val="nil"/>
              <w:bottom w:val="single" w:color="auto" w:sz="4" w:space="0"/>
              <w:right w:val="nil"/>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有效个案数</w:t>
            </w:r>
          </w:p>
        </w:tc>
        <w:tc>
          <w:tcPr>
            <w:tcW w:w="1076" w:type="dxa"/>
            <w:tcBorders>
              <w:top w:val="single" w:color="AEAEAE" w:sz="8" w:space="0"/>
              <w:left w:val="nil"/>
              <w:bottom w:val="single" w:color="auto" w:sz="4" w:space="0"/>
              <w:right w:val="single" w:color="E0E0E0" w:sz="8" w:space="0"/>
              <w:tl2br w:val="nil"/>
              <w:tr2bl w:val="nil"/>
            </w:tcBorders>
            <w:shd w:val="clear" w:color="auto" w:fill="FFFFFF"/>
            <w:noWrap w:val="0"/>
            <w:vAlign w:val="top"/>
          </w:tcPr>
          <w:p>
            <w:pPr>
              <w:spacing w:beforeLines="0" w:afterLines="0" w:line="360" w:lineRule="auto"/>
              <w:ind w:left="60" w:right="60"/>
              <w:jc w:val="righ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690</w:t>
            </w:r>
          </w:p>
        </w:tc>
        <w:tc>
          <w:tcPr>
            <w:tcW w:w="1029" w:type="dxa"/>
            <w:tcBorders>
              <w:top w:val="single" w:color="AEAEAE" w:sz="8" w:space="0"/>
              <w:left w:val="single" w:color="E0E0E0" w:sz="8" w:space="0"/>
              <w:bottom w:val="single" w:color="auto" w:sz="4" w:space="0"/>
              <w:right w:val="single" w:color="E0E0E0" w:sz="8" w:space="0"/>
              <w:tl2br w:val="nil"/>
              <w:tr2bl w:val="nil"/>
            </w:tcBorders>
            <w:shd w:val="clear" w:color="auto" w:fill="FFFFFF"/>
            <w:noWrap w:val="0"/>
            <w:vAlign w:val="center"/>
          </w:tcPr>
          <w:p>
            <w:pPr>
              <w:spacing w:beforeLines="0" w:afterLines="0" w:line="360" w:lineRule="auto"/>
              <w:rPr>
                <w:rFonts w:hint="eastAsia" w:ascii="方正仿宋_GB2312" w:hAnsi="方正仿宋_GB2312" w:eastAsia="方正仿宋_GB2312" w:cs="方正仿宋_GB2312"/>
                <w:color w:val="auto"/>
                <w:sz w:val="21"/>
                <w:szCs w:val="21"/>
              </w:rPr>
            </w:pPr>
          </w:p>
        </w:tc>
        <w:tc>
          <w:tcPr>
            <w:tcW w:w="3830" w:type="dxa"/>
            <w:tcBorders>
              <w:top w:val="single" w:color="AEAEAE" w:sz="8" w:space="0"/>
              <w:left w:val="single" w:color="E0E0E0" w:sz="8" w:space="0"/>
              <w:bottom w:val="single" w:color="auto" w:sz="4" w:space="0"/>
              <w:right w:val="nil"/>
              <w:tl2br w:val="nil"/>
              <w:tr2bl w:val="nil"/>
            </w:tcBorders>
            <w:shd w:val="clear" w:color="auto" w:fill="FFFFFF"/>
            <w:noWrap w:val="0"/>
            <w:vAlign w:val="center"/>
          </w:tcPr>
          <w:p>
            <w:pPr>
              <w:spacing w:beforeLines="0" w:afterLines="0" w:line="360" w:lineRule="auto"/>
              <w:rPr>
                <w:rFonts w:hint="eastAsia" w:ascii="方正仿宋_GB2312" w:hAnsi="方正仿宋_GB2312" w:eastAsia="方正仿宋_GB2312" w:cs="方正仿宋_GB2312"/>
                <w:color w:val="auto"/>
                <w:sz w:val="21"/>
                <w:szCs w:val="21"/>
              </w:rPr>
            </w:pPr>
          </w:p>
        </w:tc>
      </w:tr>
      <w:tr>
        <w:trPr>
          <w:cantSplit/>
          <w:trHeight w:val="1072" w:hRule="atLeast"/>
          <w:jc w:val="center"/>
        </w:trPr>
        <w:tc>
          <w:tcPr>
            <w:tcW w:w="8046" w:type="dxa"/>
            <w:gridSpan w:val="4"/>
            <w:tcBorders>
              <w:top w:val="single" w:color="auto" w:sz="4" w:space="0"/>
              <w:left w:val="nil"/>
              <w:bottom w:val="nil"/>
              <w:right w:val="nil"/>
              <w:tl2br w:val="nil"/>
              <w:tr2bl w:val="nil"/>
            </w:tcBorders>
            <w:shd w:val="clear" w:color="auto" w:fill="FFFFFF"/>
            <w:noWrap w:val="0"/>
            <w:vAlign w:val="top"/>
          </w:tcPr>
          <w:p>
            <w:pPr>
              <w:numPr>
                <w:ilvl w:val="0"/>
                <w:numId w:val="1"/>
              </w:num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0 个单元格 (0.0%) 的期望计数小于 5</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最小期望计数为 41.88。</w:t>
            </w:r>
          </w:p>
          <w:p>
            <w:pPr>
              <w:numPr>
                <w:ilvl w:val="0"/>
                <w:numId w:val="1"/>
              </w:numPr>
              <w:spacing w:beforeLines="0" w:afterLines="0" w:line="360" w:lineRule="auto"/>
              <w:ind w:left="60" w:right="60"/>
              <w:rPr>
                <w:rFonts w:hint="default"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显著性水平为0.05%。</w:t>
            </w:r>
          </w:p>
        </w:tc>
      </w:tr>
    </w:tbl>
    <w:p>
      <w:pPr>
        <w:spacing w:beforeLines="0" w:afterLines="0" w:line="360" w:lineRule="auto"/>
        <w:rPr>
          <w:rFonts w:hint="eastAsia" w:ascii="方正仿宋_GB2312" w:hAnsi="方正仿宋_GB2312" w:eastAsia="方正仿宋_GB2312" w:cs="方正仿宋_GB2312"/>
          <w:color w:val="auto"/>
          <w:sz w:val="21"/>
          <w:szCs w:val="21"/>
        </w:rPr>
      </w:pPr>
    </w:p>
    <w:p>
      <w:pPr>
        <w:numPr>
          <w:ilvl w:val="0"/>
          <w:numId w:val="0"/>
        </w:numPr>
        <w:spacing w:line="360" w:lineRule="auto"/>
        <w:ind w:leftChars="0"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统计结果显示，管理类大学生就业实习岗位和专业一致的总占比为58.1%。从不同专业看，岗位-专业一致性最高的是人力专业，高达93.2%，其次是市营，一致性比例为80.0%，一致性最低的是会计专业，仅有25.9%的学生实习岗位和专业一致。卡方检验结果显示，P值小于显著性水平，说明专业不同，在岗位-专业一致性方面差异显著。</w:t>
      </w:r>
    </w:p>
    <w:p>
      <w:pPr>
        <w:numPr>
          <w:ilvl w:val="0"/>
          <w:numId w:val="0"/>
        </w:numPr>
        <w:spacing w:line="360" w:lineRule="auto"/>
        <w:ind w:leftChars="0"/>
        <w:rPr>
          <w:rFonts w:hint="default" w:ascii="方正仿宋_GB2312" w:hAnsi="方正仿宋_GB2312" w:eastAsia="方正仿宋_GB2312" w:cs="方正仿宋_GB2312"/>
          <w:b/>
          <w:bCs/>
          <w:color w:val="auto"/>
          <w:sz w:val="21"/>
          <w:szCs w:val="21"/>
          <w:lang w:val="en-US" w:eastAsia="zh-CN"/>
        </w:rPr>
      </w:pPr>
      <w:r>
        <w:rPr>
          <w:rFonts w:hint="eastAsia" w:ascii="方正仿宋_GB2312" w:hAnsi="方正仿宋_GB2312" w:eastAsia="方正仿宋_GB2312" w:cs="方正仿宋_GB2312"/>
          <w:b/>
          <w:bCs/>
          <w:color w:val="auto"/>
          <w:sz w:val="21"/>
          <w:szCs w:val="21"/>
          <w:lang w:val="en-US" w:eastAsia="zh-CN"/>
        </w:rPr>
        <w:t>（二）实习行业选择分析</w:t>
      </w:r>
    </w:p>
    <w:p>
      <w:pPr>
        <w:numPr>
          <w:ilvl w:val="0"/>
          <w:numId w:val="0"/>
        </w:numPr>
        <w:spacing w:line="360" w:lineRule="auto"/>
        <w:ind w:leftChars="0"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将690名学生的实习单位，按照学生所在单位或部门从事的主要工作将学生就业实习单位细分为34个行业，在细分行业基础上，结合行业分类标准进行了简单聚类，最终形成了7个行业大类，在七个行业大类中，管理类专业大学生的分布情况如表4：</w:t>
      </w:r>
    </w:p>
    <w:p>
      <w:pPr>
        <w:spacing w:beforeLines="0" w:afterLines="0" w:line="360" w:lineRule="auto"/>
        <w:rPr>
          <w:rFonts w:hint="eastAsia" w:ascii="方正仿宋_GB2312" w:hAnsi="方正仿宋_GB2312" w:eastAsia="方正仿宋_GB2312" w:cs="方正仿宋_GB2312"/>
          <w:color w:val="auto"/>
          <w:sz w:val="21"/>
          <w:szCs w:val="21"/>
        </w:rPr>
      </w:pPr>
    </w:p>
    <w:p>
      <w:pPr>
        <w:spacing w:beforeLines="0" w:afterLines="0" w:line="360" w:lineRule="auto"/>
        <w:jc w:val="center"/>
        <w:rPr>
          <w:rFonts w:hint="default"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表4. 管理类专业大学生毕业实习的行业选择分布</w:t>
      </w:r>
    </w:p>
    <w:tbl>
      <w:tblPr>
        <w:tblStyle w:val="8"/>
        <w:tblW w:w="7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60"/>
        <w:gridCol w:w="946"/>
        <w:gridCol w:w="1215"/>
        <w:gridCol w:w="1531"/>
        <w:gridCol w:w="1569"/>
      </w:tblGrid>
      <w:tr>
        <w:trPr>
          <w:cantSplit/>
          <w:trHeight w:val="551" w:hRule="atLeast"/>
          <w:jc w:val="center"/>
        </w:trPr>
        <w:tc>
          <w:tcPr>
            <w:tcW w:w="2660"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jc w:val="left"/>
              <w:rPr>
                <w:rFonts w:hint="default" w:ascii="方正仿宋_GB2312" w:hAnsi="方正仿宋_GB2312" w:eastAsia="方正仿宋_GB2312" w:cs="方正仿宋_GB2312"/>
                <w:b w:val="0"/>
                <w:bCs w:val="0"/>
                <w:color w:val="auto"/>
                <w:sz w:val="21"/>
                <w:szCs w:val="21"/>
                <w:lang w:val="en-US" w:eastAsia="zh-CN"/>
              </w:rPr>
            </w:pPr>
            <w:r>
              <w:rPr>
                <w:rFonts w:hint="eastAsia" w:ascii="方正仿宋_GB2312" w:hAnsi="方正仿宋_GB2312" w:eastAsia="方正仿宋_GB2312" w:cs="方正仿宋_GB2312"/>
                <w:b w:val="0"/>
                <w:bCs w:val="0"/>
                <w:color w:val="auto"/>
                <w:sz w:val="21"/>
                <w:szCs w:val="21"/>
                <w:lang w:val="en-US" w:eastAsia="zh-CN"/>
              </w:rPr>
              <w:t>主要行业</w:t>
            </w:r>
          </w:p>
        </w:tc>
        <w:tc>
          <w:tcPr>
            <w:tcW w:w="946"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b w:val="0"/>
                <w:bCs w:val="0"/>
                <w:color w:val="auto"/>
                <w:sz w:val="21"/>
                <w:szCs w:val="21"/>
              </w:rPr>
            </w:pPr>
            <w:r>
              <w:rPr>
                <w:rFonts w:hint="eastAsia" w:ascii="方正仿宋_GB2312" w:hAnsi="方正仿宋_GB2312" w:eastAsia="方正仿宋_GB2312" w:cs="方正仿宋_GB2312"/>
                <w:b w:val="0"/>
                <w:bCs w:val="0"/>
                <w:color w:val="auto"/>
                <w:sz w:val="21"/>
                <w:szCs w:val="21"/>
              </w:rPr>
              <w:t>频率</w:t>
            </w:r>
          </w:p>
        </w:tc>
        <w:tc>
          <w:tcPr>
            <w:tcW w:w="1215"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b w:val="0"/>
                <w:bCs w:val="0"/>
                <w:color w:val="auto"/>
                <w:sz w:val="21"/>
                <w:szCs w:val="21"/>
                <w:lang w:val="en-US" w:eastAsia="zh-CN"/>
              </w:rPr>
            </w:pPr>
            <w:r>
              <w:rPr>
                <w:rFonts w:hint="eastAsia" w:ascii="方正仿宋_GB2312" w:hAnsi="方正仿宋_GB2312" w:eastAsia="方正仿宋_GB2312" w:cs="方正仿宋_GB2312"/>
                <w:b w:val="0"/>
                <w:bCs w:val="0"/>
                <w:color w:val="auto"/>
                <w:sz w:val="21"/>
                <w:szCs w:val="21"/>
              </w:rPr>
              <w:t>百分比</w:t>
            </w:r>
            <w:r>
              <w:rPr>
                <w:rFonts w:hint="eastAsia" w:ascii="方正仿宋_GB2312" w:hAnsi="方正仿宋_GB2312" w:eastAsia="方正仿宋_GB2312" w:cs="方正仿宋_GB2312"/>
                <w:b w:val="0"/>
                <w:bCs w:val="0"/>
                <w:color w:val="auto"/>
                <w:sz w:val="21"/>
                <w:szCs w:val="21"/>
                <w:lang w:eastAsia="zh-CN"/>
              </w:rPr>
              <w:t>（</w:t>
            </w:r>
            <w:r>
              <w:rPr>
                <w:rFonts w:hint="eastAsia" w:ascii="方正仿宋_GB2312" w:hAnsi="方正仿宋_GB2312" w:eastAsia="方正仿宋_GB2312" w:cs="方正仿宋_GB2312"/>
                <w:b w:val="0"/>
                <w:bCs w:val="0"/>
                <w:color w:val="auto"/>
                <w:sz w:val="21"/>
                <w:szCs w:val="21"/>
                <w:lang w:val="en-US" w:eastAsia="zh-CN"/>
              </w:rPr>
              <w:t>%</w:t>
            </w:r>
            <w:r>
              <w:rPr>
                <w:rFonts w:hint="eastAsia" w:ascii="方正仿宋_GB2312" w:hAnsi="方正仿宋_GB2312" w:eastAsia="方正仿宋_GB2312" w:cs="方正仿宋_GB2312"/>
                <w:b w:val="0"/>
                <w:bCs w:val="0"/>
                <w:color w:val="auto"/>
                <w:sz w:val="21"/>
                <w:szCs w:val="21"/>
                <w:lang w:eastAsia="zh-CN"/>
              </w:rPr>
              <w:t>）</w:t>
            </w:r>
          </w:p>
        </w:tc>
        <w:tc>
          <w:tcPr>
            <w:tcW w:w="1531"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b w:val="0"/>
                <w:bCs w:val="0"/>
                <w:color w:val="auto"/>
                <w:sz w:val="21"/>
                <w:szCs w:val="21"/>
                <w:lang w:val="en-US" w:eastAsia="zh-CN"/>
              </w:rPr>
            </w:pPr>
            <w:r>
              <w:rPr>
                <w:rFonts w:hint="eastAsia" w:ascii="方正仿宋_GB2312" w:hAnsi="方正仿宋_GB2312" w:eastAsia="方正仿宋_GB2312" w:cs="方正仿宋_GB2312"/>
                <w:b w:val="0"/>
                <w:bCs w:val="0"/>
                <w:color w:val="auto"/>
                <w:sz w:val="21"/>
                <w:szCs w:val="21"/>
              </w:rPr>
              <w:t>有效百分比</w:t>
            </w:r>
            <w:r>
              <w:rPr>
                <w:rFonts w:hint="eastAsia" w:ascii="方正仿宋_GB2312" w:hAnsi="方正仿宋_GB2312" w:eastAsia="方正仿宋_GB2312" w:cs="方正仿宋_GB2312"/>
                <w:b w:val="0"/>
                <w:bCs w:val="0"/>
                <w:color w:val="auto"/>
                <w:sz w:val="21"/>
                <w:szCs w:val="21"/>
                <w:lang w:eastAsia="zh-CN"/>
              </w:rPr>
              <w:t>（</w:t>
            </w:r>
            <w:r>
              <w:rPr>
                <w:rFonts w:hint="eastAsia" w:ascii="方正仿宋_GB2312" w:hAnsi="方正仿宋_GB2312" w:eastAsia="方正仿宋_GB2312" w:cs="方正仿宋_GB2312"/>
                <w:b w:val="0"/>
                <w:bCs w:val="0"/>
                <w:color w:val="auto"/>
                <w:sz w:val="21"/>
                <w:szCs w:val="21"/>
                <w:lang w:val="en-US" w:eastAsia="zh-CN"/>
              </w:rPr>
              <w:t>%</w:t>
            </w:r>
            <w:r>
              <w:rPr>
                <w:rFonts w:hint="eastAsia" w:ascii="方正仿宋_GB2312" w:hAnsi="方正仿宋_GB2312" w:eastAsia="方正仿宋_GB2312" w:cs="方正仿宋_GB2312"/>
                <w:b w:val="0"/>
                <w:bCs w:val="0"/>
                <w:color w:val="auto"/>
                <w:sz w:val="21"/>
                <w:szCs w:val="21"/>
                <w:lang w:eastAsia="zh-CN"/>
              </w:rPr>
              <w:t>）</w:t>
            </w:r>
          </w:p>
        </w:tc>
        <w:tc>
          <w:tcPr>
            <w:tcW w:w="1569"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b w:val="0"/>
                <w:bCs w:val="0"/>
                <w:color w:val="auto"/>
                <w:sz w:val="21"/>
                <w:szCs w:val="21"/>
                <w:lang w:val="en-US" w:eastAsia="zh-CN"/>
              </w:rPr>
            </w:pPr>
            <w:r>
              <w:rPr>
                <w:rFonts w:hint="eastAsia" w:ascii="方正仿宋_GB2312" w:hAnsi="方正仿宋_GB2312" w:eastAsia="方正仿宋_GB2312" w:cs="方正仿宋_GB2312"/>
                <w:b w:val="0"/>
                <w:bCs w:val="0"/>
                <w:color w:val="auto"/>
                <w:sz w:val="21"/>
                <w:szCs w:val="21"/>
              </w:rPr>
              <w:t>累积百分比</w:t>
            </w:r>
            <w:r>
              <w:rPr>
                <w:rFonts w:hint="eastAsia" w:ascii="方正仿宋_GB2312" w:hAnsi="方正仿宋_GB2312" w:eastAsia="方正仿宋_GB2312" w:cs="方正仿宋_GB2312"/>
                <w:b w:val="0"/>
                <w:bCs w:val="0"/>
                <w:color w:val="auto"/>
                <w:sz w:val="21"/>
                <w:szCs w:val="21"/>
                <w:lang w:eastAsia="zh-CN"/>
              </w:rPr>
              <w:t>（</w:t>
            </w:r>
            <w:r>
              <w:rPr>
                <w:rFonts w:hint="eastAsia" w:ascii="方正仿宋_GB2312" w:hAnsi="方正仿宋_GB2312" w:eastAsia="方正仿宋_GB2312" w:cs="方正仿宋_GB2312"/>
                <w:b w:val="0"/>
                <w:bCs w:val="0"/>
                <w:color w:val="auto"/>
                <w:sz w:val="21"/>
                <w:szCs w:val="21"/>
                <w:lang w:val="en-US" w:eastAsia="zh-CN"/>
              </w:rPr>
              <w:t>%</w:t>
            </w:r>
            <w:r>
              <w:rPr>
                <w:rFonts w:hint="eastAsia" w:ascii="方正仿宋_GB2312" w:hAnsi="方正仿宋_GB2312" w:eastAsia="方正仿宋_GB2312" w:cs="方正仿宋_GB2312"/>
                <w:b w:val="0"/>
                <w:bCs w:val="0"/>
                <w:color w:val="auto"/>
                <w:sz w:val="21"/>
                <w:szCs w:val="21"/>
                <w:lang w:eastAsia="zh-CN"/>
              </w:rPr>
              <w:t>）</w:t>
            </w:r>
          </w:p>
        </w:tc>
      </w:tr>
      <w:tr>
        <w:trPr>
          <w:cantSplit/>
          <w:trHeight w:val="360" w:hRule="atLeast"/>
          <w:jc w:val="center"/>
        </w:trPr>
        <w:tc>
          <w:tcPr>
            <w:tcW w:w="2660" w:type="dxa"/>
            <w:tcBorders>
              <w:top w:val="single" w:color="auto" w:sz="4" w:space="0"/>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生产生活服务业</w:t>
            </w:r>
          </w:p>
        </w:tc>
        <w:tc>
          <w:tcPr>
            <w:tcW w:w="946" w:type="dxa"/>
            <w:tcBorders>
              <w:top w:val="single" w:color="auto" w:sz="4" w:space="0"/>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215</w:t>
            </w:r>
          </w:p>
        </w:tc>
        <w:tc>
          <w:tcPr>
            <w:tcW w:w="1215" w:type="dxa"/>
            <w:tcBorders>
              <w:top w:val="single" w:color="auto" w:sz="4" w:space="0"/>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31.2</w:t>
            </w:r>
          </w:p>
        </w:tc>
        <w:tc>
          <w:tcPr>
            <w:tcW w:w="1531" w:type="dxa"/>
            <w:tcBorders>
              <w:top w:val="single" w:color="auto" w:sz="4" w:space="0"/>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31.2</w:t>
            </w:r>
          </w:p>
        </w:tc>
        <w:tc>
          <w:tcPr>
            <w:tcW w:w="1569" w:type="dxa"/>
            <w:tcBorders>
              <w:top w:val="single" w:color="auto" w:sz="4" w:space="0"/>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31.2</w:t>
            </w:r>
          </w:p>
        </w:tc>
      </w:tr>
      <w:tr>
        <w:trPr>
          <w:cantSplit/>
          <w:trHeight w:val="285" w:hRule="atLeast"/>
          <w:jc w:val="center"/>
        </w:trPr>
        <w:tc>
          <w:tcPr>
            <w:tcW w:w="2660" w:type="dxa"/>
            <w:tcBorders>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贸易销售类</w:t>
            </w:r>
          </w:p>
        </w:tc>
        <w:tc>
          <w:tcPr>
            <w:tcW w:w="946"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126</w:t>
            </w:r>
          </w:p>
        </w:tc>
        <w:tc>
          <w:tcPr>
            <w:tcW w:w="1215"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18.3</w:t>
            </w:r>
          </w:p>
        </w:tc>
        <w:tc>
          <w:tcPr>
            <w:tcW w:w="1531"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18.3</w:t>
            </w:r>
          </w:p>
        </w:tc>
        <w:tc>
          <w:tcPr>
            <w:tcW w:w="1569"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49.4</w:t>
            </w:r>
          </w:p>
        </w:tc>
      </w:tr>
      <w:tr>
        <w:trPr>
          <w:cantSplit/>
          <w:jc w:val="center"/>
        </w:trPr>
        <w:tc>
          <w:tcPr>
            <w:tcW w:w="2660" w:type="dxa"/>
            <w:tcBorders>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制造业</w:t>
            </w:r>
          </w:p>
        </w:tc>
        <w:tc>
          <w:tcPr>
            <w:tcW w:w="946"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110</w:t>
            </w:r>
          </w:p>
        </w:tc>
        <w:tc>
          <w:tcPr>
            <w:tcW w:w="1215"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15.9</w:t>
            </w:r>
          </w:p>
        </w:tc>
        <w:tc>
          <w:tcPr>
            <w:tcW w:w="1531"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15.9</w:t>
            </w:r>
          </w:p>
        </w:tc>
        <w:tc>
          <w:tcPr>
            <w:tcW w:w="1569"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65.4</w:t>
            </w:r>
          </w:p>
        </w:tc>
      </w:tr>
      <w:tr>
        <w:trPr>
          <w:cantSplit/>
          <w:jc w:val="center"/>
        </w:trPr>
        <w:tc>
          <w:tcPr>
            <w:tcW w:w="2660" w:type="dxa"/>
            <w:tcBorders>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管理咨询服务类</w:t>
            </w:r>
          </w:p>
        </w:tc>
        <w:tc>
          <w:tcPr>
            <w:tcW w:w="946"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102</w:t>
            </w:r>
          </w:p>
        </w:tc>
        <w:tc>
          <w:tcPr>
            <w:tcW w:w="1215"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14.8</w:t>
            </w:r>
          </w:p>
        </w:tc>
        <w:tc>
          <w:tcPr>
            <w:tcW w:w="1531"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14.8</w:t>
            </w:r>
          </w:p>
        </w:tc>
        <w:tc>
          <w:tcPr>
            <w:tcW w:w="1569"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80.1</w:t>
            </w:r>
          </w:p>
        </w:tc>
      </w:tr>
      <w:tr>
        <w:trPr>
          <w:cantSplit/>
          <w:jc w:val="center"/>
        </w:trPr>
        <w:tc>
          <w:tcPr>
            <w:tcW w:w="2660" w:type="dxa"/>
            <w:tcBorders>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政府、事业单位、银行、保险和证券类</w:t>
            </w:r>
          </w:p>
        </w:tc>
        <w:tc>
          <w:tcPr>
            <w:tcW w:w="946"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65</w:t>
            </w:r>
          </w:p>
        </w:tc>
        <w:tc>
          <w:tcPr>
            <w:tcW w:w="1215"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9.4</w:t>
            </w:r>
          </w:p>
        </w:tc>
        <w:tc>
          <w:tcPr>
            <w:tcW w:w="1531"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9.4</w:t>
            </w:r>
          </w:p>
        </w:tc>
        <w:tc>
          <w:tcPr>
            <w:tcW w:w="1569"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89.6</w:t>
            </w:r>
          </w:p>
        </w:tc>
      </w:tr>
      <w:tr>
        <w:trPr>
          <w:cantSplit/>
          <w:jc w:val="center"/>
        </w:trPr>
        <w:tc>
          <w:tcPr>
            <w:tcW w:w="2660" w:type="dxa"/>
            <w:tcBorders>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教育类</w:t>
            </w:r>
          </w:p>
        </w:tc>
        <w:tc>
          <w:tcPr>
            <w:tcW w:w="946"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52</w:t>
            </w:r>
          </w:p>
        </w:tc>
        <w:tc>
          <w:tcPr>
            <w:tcW w:w="1215"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7.5</w:t>
            </w:r>
          </w:p>
        </w:tc>
        <w:tc>
          <w:tcPr>
            <w:tcW w:w="1531"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7.5</w:t>
            </w:r>
          </w:p>
        </w:tc>
        <w:tc>
          <w:tcPr>
            <w:tcW w:w="1569"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97.1</w:t>
            </w:r>
          </w:p>
        </w:tc>
      </w:tr>
      <w:tr>
        <w:trPr>
          <w:cantSplit/>
          <w:jc w:val="center"/>
        </w:trPr>
        <w:tc>
          <w:tcPr>
            <w:tcW w:w="2660" w:type="dxa"/>
            <w:tcBorders>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涉农企业</w:t>
            </w:r>
          </w:p>
        </w:tc>
        <w:tc>
          <w:tcPr>
            <w:tcW w:w="946"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w:t>
            </w:r>
          </w:p>
        </w:tc>
        <w:tc>
          <w:tcPr>
            <w:tcW w:w="1215"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2.9</w:t>
            </w:r>
          </w:p>
        </w:tc>
        <w:tc>
          <w:tcPr>
            <w:tcW w:w="1531"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2.9</w:t>
            </w:r>
          </w:p>
        </w:tc>
        <w:tc>
          <w:tcPr>
            <w:tcW w:w="1569" w:type="dxa"/>
            <w:tcBorders>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r>
        <w:trPr>
          <w:cantSplit/>
          <w:jc w:val="center"/>
        </w:trPr>
        <w:tc>
          <w:tcPr>
            <w:tcW w:w="2660" w:type="dxa"/>
            <w:tcBorders>
              <w:bottom w:val="single" w:color="auto" w:sz="4" w:space="0"/>
              <w:tl2br w:val="nil"/>
              <w:tr2bl w:val="nil"/>
            </w:tcBorders>
            <w:shd w:val="clear" w:color="auto" w:fill="auto"/>
            <w:noWrap w:val="0"/>
            <w:vAlign w:val="top"/>
          </w:tcPr>
          <w:p>
            <w:pPr>
              <w:spacing w:beforeLines="0" w:afterLines="0" w:line="360" w:lineRule="auto"/>
              <w:ind w:left="60" w:right="60"/>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总计</w:t>
            </w:r>
          </w:p>
        </w:tc>
        <w:tc>
          <w:tcPr>
            <w:tcW w:w="946" w:type="dxa"/>
            <w:tcBorders>
              <w:bottom w:val="single" w:color="auto" w:sz="4" w:space="0"/>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690</w:t>
            </w:r>
          </w:p>
        </w:tc>
        <w:tc>
          <w:tcPr>
            <w:tcW w:w="1215" w:type="dxa"/>
            <w:tcBorders>
              <w:bottom w:val="single" w:color="auto" w:sz="4" w:space="0"/>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c>
          <w:tcPr>
            <w:tcW w:w="1531" w:type="dxa"/>
            <w:tcBorders>
              <w:bottom w:val="single" w:color="auto" w:sz="4" w:space="0"/>
              <w:tl2br w:val="nil"/>
              <w:tr2bl w:val="nil"/>
            </w:tcBorders>
            <w:shd w:val="clear" w:color="auto" w:fill="FFFFFF"/>
            <w:noWrap w:val="0"/>
            <w:vAlign w:val="top"/>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c>
          <w:tcPr>
            <w:tcW w:w="1569" w:type="dxa"/>
            <w:tcBorders>
              <w:bottom w:val="single" w:color="auto" w:sz="4" w:space="0"/>
              <w:tl2br w:val="nil"/>
              <w:tr2bl w:val="nil"/>
            </w:tcBorders>
            <w:shd w:val="clear" w:color="auto" w:fill="FFFFFF"/>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rPr>
            </w:pPr>
          </w:p>
        </w:tc>
      </w:tr>
    </w:tbl>
    <w:p>
      <w:pPr>
        <w:numPr>
          <w:ilvl w:val="0"/>
          <w:numId w:val="0"/>
        </w:numPr>
        <w:spacing w:line="360" w:lineRule="auto"/>
        <w:rPr>
          <w:rFonts w:hint="eastAsia" w:ascii="方正仿宋_GB2312" w:hAnsi="方正仿宋_GB2312" w:eastAsia="方正仿宋_GB2312" w:cs="方正仿宋_GB2312"/>
          <w:color w:val="auto"/>
          <w:sz w:val="21"/>
          <w:szCs w:val="21"/>
          <w:lang w:val="en-US" w:eastAsia="zh-CN"/>
        </w:rPr>
      </w:pPr>
    </w:p>
    <w:p>
      <w:pPr>
        <w:numPr>
          <w:ilvl w:val="0"/>
          <w:numId w:val="0"/>
        </w:numPr>
        <w:spacing w:line="360" w:lineRule="auto"/>
        <w:ind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从结果看，学生就业实习行业集中度较高，生产生活服务业的实习学生占比达31.2%，加上贸易销售类、制造业和管理咨询服务类累计实习学生占比达到80.1%，对涉农的实习单位实习学生数进行统计发现，选择涉农企业的学生占比仅有2.9%。</w:t>
      </w:r>
    </w:p>
    <w:p>
      <w:pPr>
        <w:numPr>
          <w:ilvl w:val="0"/>
          <w:numId w:val="0"/>
        </w:numPr>
        <w:spacing w:line="360" w:lineRule="auto"/>
        <w:ind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进一步对不同专业和行业大类间的交叉分析发现：专业间的行业选择差异较为明显，但选择在生产生活服务业开展就业实习的学生相对占比为29.4-36.9%之间，相对较多。在专业差异方面，除了生产生活服务业之外，工管专业学生多选择贸易销售类和制造业，人力专业多选择在贸易销售类、教育类和制造业，占比分别为13.6%、13.6%和15.5%；市营专业学生较多选择在贸易销售类和制造业，合计占比达59%；财务和会计类专业选择在政府、事业单位、银行证券等较为稳定的单位占比相对较大，分别为13.4%和10.6%，相对较多的则是在管理咨询类企业，其中多是会计师事务所、财务类管理咨询服务企业。</w:t>
      </w:r>
    </w:p>
    <w:p>
      <w:pPr>
        <w:numPr>
          <w:ilvl w:val="0"/>
          <w:numId w:val="0"/>
        </w:numPr>
        <w:spacing w:line="360" w:lineRule="auto"/>
        <w:ind w:leftChars="0"/>
        <w:rPr>
          <w:rFonts w:hint="default" w:ascii="方正仿宋_GB2312" w:hAnsi="方正仿宋_GB2312" w:eastAsia="方正仿宋_GB2312" w:cs="方正仿宋_GB2312"/>
          <w:b/>
          <w:bCs/>
          <w:color w:val="auto"/>
          <w:sz w:val="21"/>
          <w:szCs w:val="21"/>
          <w:lang w:val="en-US" w:eastAsia="zh-CN"/>
        </w:rPr>
      </w:pPr>
      <w:r>
        <w:rPr>
          <w:rFonts w:hint="eastAsia" w:ascii="方正仿宋_GB2312" w:hAnsi="方正仿宋_GB2312" w:eastAsia="方正仿宋_GB2312" w:cs="方正仿宋_GB2312"/>
          <w:b/>
          <w:bCs/>
          <w:color w:val="auto"/>
          <w:sz w:val="21"/>
          <w:szCs w:val="21"/>
          <w:lang w:val="en-US" w:eastAsia="zh-CN"/>
        </w:rPr>
        <w:t>（三）实习地点的选择的区域倾向性分析</w:t>
      </w:r>
    </w:p>
    <w:p>
      <w:pPr>
        <w:numPr>
          <w:ilvl w:val="0"/>
          <w:numId w:val="0"/>
        </w:numPr>
        <w:spacing w:line="360" w:lineRule="auto"/>
        <w:ind w:leftChars="0" w:firstLine="420" w:firstLineChars="200"/>
        <w:rPr>
          <w:rFonts w:hint="default"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针对毕业生工作实际单位所在地进行统计，删除信息不全的学生，将广东省内21个地市就业实习学生分地市进行编码，省外实习学生不区分具体省份，均标注为省外。按照区域划分，分别统计了珠三角区域、粤东、粤西、粤北及省外各区域的学生分布情况，数据显示，绝大多数学生在广东省境内参加就业实习，且多集中在珠三角区域，占比达82.2%。进一步分析发现，珠三角区域中，留在广州（学校所在地）参加就业实习的占比为58.3%，占绝大多数，其次是深圳，仅占9.1%。选择在粤东实习的学生略多于粤北和粤西。</w:t>
      </w:r>
    </w:p>
    <w:p>
      <w:pPr>
        <w:numPr>
          <w:ilvl w:val="0"/>
          <w:numId w:val="0"/>
        </w:numPr>
        <w:spacing w:line="360" w:lineRule="auto"/>
        <w:ind w:leftChars="0" w:firstLine="56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为进一步分析，各专业在不同区域的选择有没有地域选择倾向性，对专业和实习区域分布进行交叉列表分析如表5：</w:t>
      </w:r>
    </w:p>
    <w:p>
      <w:pPr>
        <w:numPr>
          <w:ilvl w:val="0"/>
          <w:numId w:val="0"/>
        </w:numPr>
        <w:spacing w:line="360" w:lineRule="auto"/>
        <w:ind w:leftChars="0" w:firstLine="560"/>
        <w:rPr>
          <w:rFonts w:hint="eastAsia" w:ascii="方正仿宋_GB2312" w:hAnsi="方正仿宋_GB2312" w:eastAsia="方正仿宋_GB2312" w:cs="方正仿宋_GB2312"/>
          <w:color w:val="auto"/>
          <w:sz w:val="21"/>
          <w:szCs w:val="21"/>
          <w:lang w:val="en-US" w:eastAsia="zh-CN"/>
        </w:rPr>
      </w:pPr>
    </w:p>
    <w:p>
      <w:pPr>
        <w:numPr>
          <w:ilvl w:val="0"/>
          <w:numId w:val="0"/>
        </w:numPr>
        <w:spacing w:line="360" w:lineRule="auto"/>
        <w:ind w:leftChars="0" w:firstLine="5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表5. 各专业毕业实习区域选择交叉表</w:t>
      </w:r>
    </w:p>
    <w:tbl>
      <w:tblPr>
        <w:tblStyle w:val="8"/>
        <w:tblW w:w="8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9"/>
        <w:gridCol w:w="1950"/>
        <w:gridCol w:w="738"/>
        <w:gridCol w:w="1032"/>
        <w:gridCol w:w="930"/>
        <w:gridCol w:w="1015"/>
        <w:gridCol w:w="912"/>
        <w:gridCol w:w="1131"/>
      </w:tblGrid>
      <w:tr>
        <w:trPr>
          <w:cantSplit/>
        </w:trPr>
        <w:tc>
          <w:tcPr>
            <w:tcW w:w="2509" w:type="dxa"/>
            <w:gridSpan w:val="2"/>
            <w:vMerge w:val="restart"/>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专业</w:t>
            </w:r>
          </w:p>
        </w:tc>
        <w:tc>
          <w:tcPr>
            <w:tcW w:w="4627" w:type="dxa"/>
            <w:gridSpan w:val="5"/>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default"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区域名称</w:t>
            </w:r>
          </w:p>
        </w:tc>
        <w:tc>
          <w:tcPr>
            <w:tcW w:w="1131" w:type="dxa"/>
            <w:vMerge w:val="restart"/>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总计</w:t>
            </w:r>
          </w:p>
        </w:tc>
      </w:tr>
      <w:tr>
        <w:trPr>
          <w:cantSplit/>
        </w:trPr>
        <w:tc>
          <w:tcPr>
            <w:tcW w:w="2509" w:type="dxa"/>
            <w:gridSpan w:val="2"/>
            <w:vMerge w:val="continue"/>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rPr>
            </w:pPr>
          </w:p>
        </w:tc>
        <w:tc>
          <w:tcPr>
            <w:tcW w:w="738"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其他</w:t>
            </w:r>
          </w:p>
        </w:tc>
        <w:tc>
          <w:tcPr>
            <w:tcW w:w="1032"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珠三角</w:t>
            </w:r>
          </w:p>
        </w:tc>
        <w:tc>
          <w:tcPr>
            <w:tcW w:w="930"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粤东</w:t>
            </w:r>
          </w:p>
        </w:tc>
        <w:tc>
          <w:tcPr>
            <w:tcW w:w="1015"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粤西</w:t>
            </w:r>
          </w:p>
        </w:tc>
        <w:tc>
          <w:tcPr>
            <w:tcW w:w="912" w:type="dxa"/>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粤北</w:t>
            </w:r>
          </w:p>
        </w:tc>
        <w:tc>
          <w:tcPr>
            <w:tcW w:w="1131" w:type="dxa"/>
            <w:vMerge w:val="continue"/>
            <w:tcBorders>
              <w:top w:val="single" w:color="auto" w:sz="4" w:space="0"/>
              <w:bottom w:val="single" w:color="auto" w:sz="4" w:space="0"/>
              <w:tl2br w:val="nil"/>
              <w:tr2bl w:val="nil"/>
            </w:tcBorders>
            <w:shd w:val="clear" w:color="auto" w:fill="FFFFFF"/>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rPr>
            </w:pPr>
          </w:p>
        </w:tc>
      </w:tr>
      <w:tr>
        <w:trPr>
          <w:cantSplit/>
        </w:trPr>
        <w:tc>
          <w:tcPr>
            <w:tcW w:w="559" w:type="dxa"/>
            <w:vMerge w:val="restart"/>
            <w:tcBorders>
              <w:top w:val="single" w:color="auto" w:sz="4" w:space="0"/>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工管</w:t>
            </w:r>
          </w:p>
        </w:tc>
        <w:tc>
          <w:tcPr>
            <w:tcW w:w="1950" w:type="dxa"/>
            <w:tcBorders>
              <w:top w:val="single" w:color="auto" w:sz="4" w:space="0"/>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计数</w:t>
            </w:r>
          </w:p>
        </w:tc>
        <w:tc>
          <w:tcPr>
            <w:tcW w:w="738" w:type="dxa"/>
            <w:tcBorders>
              <w:top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w:t>
            </w:r>
          </w:p>
        </w:tc>
        <w:tc>
          <w:tcPr>
            <w:tcW w:w="1032" w:type="dxa"/>
            <w:tcBorders>
              <w:top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92</w:t>
            </w:r>
          </w:p>
        </w:tc>
        <w:tc>
          <w:tcPr>
            <w:tcW w:w="930" w:type="dxa"/>
            <w:tcBorders>
              <w:top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12</w:t>
            </w:r>
          </w:p>
        </w:tc>
        <w:tc>
          <w:tcPr>
            <w:tcW w:w="1015" w:type="dxa"/>
            <w:tcBorders>
              <w:top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w:t>
            </w:r>
          </w:p>
        </w:tc>
        <w:tc>
          <w:tcPr>
            <w:tcW w:w="912" w:type="dxa"/>
            <w:tcBorders>
              <w:top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w:t>
            </w:r>
          </w:p>
        </w:tc>
        <w:tc>
          <w:tcPr>
            <w:tcW w:w="1131" w:type="dxa"/>
            <w:tcBorders>
              <w:top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115</w:t>
            </w:r>
          </w:p>
        </w:tc>
      </w:tr>
      <w:tr>
        <w:trPr>
          <w:cantSplit/>
        </w:trPr>
        <w:tc>
          <w:tcPr>
            <w:tcW w:w="559" w:type="dxa"/>
            <w:vMerge w:val="continue"/>
            <w:tcBorders>
              <w:tl2br w:val="nil"/>
              <w:tr2bl w:val="nil"/>
            </w:tcBorders>
            <w:shd w:val="clear" w:color="auto" w:fill="auto"/>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rPr>
            </w:pPr>
          </w:p>
        </w:tc>
        <w:tc>
          <w:tcPr>
            <w:tcW w:w="1950" w:type="dxa"/>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占 major 的百分比</w:t>
            </w:r>
          </w:p>
        </w:tc>
        <w:tc>
          <w:tcPr>
            <w:tcW w:w="738"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2.6%</w:t>
            </w:r>
          </w:p>
        </w:tc>
        <w:tc>
          <w:tcPr>
            <w:tcW w:w="10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80.0%</w:t>
            </w:r>
          </w:p>
        </w:tc>
        <w:tc>
          <w:tcPr>
            <w:tcW w:w="930"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10.4%</w:t>
            </w:r>
          </w:p>
        </w:tc>
        <w:tc>
          <w:tcPr>
            <w:tcW w:w="101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2.6%</w:t>
            </w:r>
          </w:p>
        </w:tc>
        <w:tc>
          <w:tcPr>
            <w:tcW w:w="91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4.3%</w:t>
            </w:r>
          </w:p>
        </w:tc>
        <w:tc>
          <w:tcPr>
            <w:tcW w:w="113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r>
        <w:trPr>
          <w:cantSplit/>
        </w:trPr>
        <w:tc>
          <w:tcPr>
            <w:tcW w:w="559" w:type="dxa"/>
            <w:vMerge w:val="restart"/>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人力</w:t>
            </w:r>
          </w:p>
        </w:tc>
        <w:tc>
          <w:tcPr>
            <w:tcW w:w="1950" w:type="dxa"/>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计数</w:t>
            </w:r>
          </w:p>
        </w:tc>
        <w:tc>
          <w:tcPr>
            <w:tcW w:w="738"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0</w:t>
            </w:r>
          </w:p>
        </w:tc>
        <w:tc>
          <w:tcPr>
            <w:tcW w:w="10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89</w:t>
            </w:r>
          </w:p>
        </w:tc>
        <w:tc>
          <w:tcPr>
            <w:tcW w:w="930"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7</w:t>
            </w:r>
          </w:p>
        </w:tc>
        <w:tc>
          <w:tcPr>
            <w:tcW w:w="101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w:t>
            </w:r>
          </w:p>
        </w:tc>
        <w:tc>
          <w:tcPr>
            <w:tcW w:w="91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w:t>
            </w:r>
          </w:p>
        </w:tc>
        <w:tc>
          <w:tcPr>
            <w:tcW w:w="113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103</w:t>
            </w:r>
          </w:p>
        </w:tc>
      </w:tr>
      <w:tr>
        <w:trPr>
          <w:cantSplit/>
        </w:trPr>
        <w:tc>
          <w:tcPr>
            <w:tcW w:w="559" w:type="dxa"/>
            <w:vMerge w:val="continue"/>
            <w:tcBorders>
              <w:tl2br w:val="nil"/>
              <w:tr2bl w:val="nil"/>
            </w:tcBorders>
            <w:shd w:val="clear" w:color="auto" w:fill="auto"/>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rPr>
            </w:pPr>
          </w:p>
        </w:tc>
        <w:tc>
          <w:tcPr>
            <w:tcW w:w="1950" w:type="dxa"/>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占 major 的百分比</w:t>
            </w:r>
          </w:p>
        </w:tc>
        <w:tc>
          <w:tcPr>
            <w:tcW w:w="738"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0.0%</w:t>
            </w:r>
          </w:p>
        </w:tc>
        <w:tc>
          <w:tcPr>
            <w:tcW w:w="10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86.4%</w:t>
            </w:r>
          </w:p>
        </w:tc>
        <w:tc>
          <w:tcPr>
            <w:tcW w:w="930"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6.8%</w:t>
            </w:r>
          </w:p>
        </w:tc>
        <w:tc>
          <w:tcPr>
            <w:tcW w:w="101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1.9%</w:t>
            </w:r>
          </w:p>
        </w:tc>
        <w:tc>
          <w:tcPr>
            <w:tcW w:w="91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4.9%</w:t>
            </w:r>
          </w:p>
        </w:tc>
        <w:tc>
          <w:tcPr>
            <w:tcW w:w="113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r>
        <w:trPr>
          <w:cantSplit/>
        </w:trPr>
        <w:tc>
          <w:tcPr>
            <w:tcW w:w="559" w:type="dxa"/>
            <w:vMerge w:val="restart"/>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市营</w:t>
            </w:r>
          </w:p>
        </w:tc>
        <w:tc>
          <w:tcPr>
            <w:tcW w:w="1950" w:type="dxa"/>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计数</w:t>
            </w:r>
          </w:p>
        </w:tc>
        <w:tc>
          <w:tcPr>
            <w:tcW w:w="738"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w:t>
            </w:r>
          </w:p>
        </w:tc>
        <w:tc>
          <w:tcPr>
            <w:tcW w:w="10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87</w:t>
            </w:r>
          </w:p>
        </w:tc>
        <w:tc>
          <w:tcPr>
            <w:tcW w:w="930"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w:t>
            </w:r>
          </w:p>
        </w:tc>
        <w:tc>
          <w:tcPr>
            <w:tcW w:w="101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w:t>
            </w:r>
          </w:p>
        </w:tc>
        <w:tc>
          <w:tcPr>
            <w:tcW w:w="91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w:t>
            </w:r>
          </w:p>
        </w:tc>
        <w:tc>
          <w:tcPr>
            <w:tcW w:w="113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w:t>
            </w:r>
          </w:p>
        </w:tc>
      </w:tr>
      <w:tr>
        <w:trPr>
          <w:cantSplit/>
        </w:trPr>
        <w:tc>
          <w:tcPr>
            <w:tcW w:w="559" w:type="dxa"/>
            <w:vMerge w:val="continue"/>
            <w:tcBorders>
              <w:tl2br w:val="nil"/>
              <w:tr2bl w:val="nil"/>
            </w:tcBorders>
            <w:shd w:val="clear" w:color="auto" w:fill="auto"/>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rPr>
            </w:pPr>
          </w:p>
        </w:tc>
        <w:tc>
          <w:tcPr>
            <w:tcW w:w="1950" w:type="dxa"/>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占 major 的百分比</w:t>
            </w:r>
          </w:p>
        </w:tc>
        <w:tc>
          <w:tcPr>
            <w:tcW w:w="738"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w:t>
            </w:r>
          </w:p>
        </w:tc>
        <w:tc>
          <w:tcPr>
            <w:tcW w:w="10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87.0%</w:t>
            </w:r>
          </w:p>
        </w:tc>
        <w:tc>
          <w:tcPr>
            <w:tcW w:w="930"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5.0%</w:t>
            </w:r>
          </w:p>
        </w:tc>
        <w:tc>
          <w:tcPr>
            <w:tcW w:w="101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w:t>
            </w:r>
          </w:p>
        </w:tc>
        <w:tc>
          <w:tcPr>
            <w:tcW w:w="91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6.0%</w:t>
            </w:r>
          </w:p>
        </w:tc>
        <w:tc>
          <w:tcPr>
            <w:tcW w:w="113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r>
        <w:trPr>
          <w:cantSplit/>
        </w:trPr>
        <w:tc>
          <w:tcPr>
            <w:tcW w:w="559" w:type="dxa"/>
            <w:vMerge w:val="restart"/>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财务</w:t>
            </w:r>
          </w:p>
        </w:tc>
        <w:tc>
          <w:tcPr>
            <w:tcW w:w="1950" w:type="dxa"/>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计数</w:t>
            </w:r>
          </w:p>
        </w:tc>
        <w:tc>
          <w:tcPr>
            <w:tcW w:w="738"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0</w:t>
            </w:r>
          </w:p>
        </w:tc>
        <w:tc>
          <w:tcPr>
            <w:tcW w:w="10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158</w:t>
            </w:r>
          </w:p>
        </w:tc>
        <w:tc>
          <w:tcPr>
            <w:tcW w:w="930"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28</w:t>
            </w:r>
          </w:p>
        </w:tc>
        <w:tc>
          <w:tcPr>
            <w:tcW w:w="101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w:t>
            </w:r>
          </w:p>
        </w:tc>
        <w:tc>
          <w:tcPr>
            <w:tcW w:w="91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w:t>
            </w:r>
          </w:p>
        </w:tc>
        <w:tc>
          <w:tcPr>
            <w:tcW w:w="113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202</w:t>
            </w:r>
          </w:p>
        </w:tc>
      </w:tr>
      <w:tr>
        <w:trPr>
          <w:cantSplit/>
        </w:trPr>
        <w:tc>
          <w:tcPr>
            <w:tcW w:w="559" w:type="dxa"/>
            <w:vMerge w:val="continue"/>
            <w:tcBorders>
              <w:tl2br w:val="nil"/>
              <w:tr2bl w:val="nil"/>
            </w:tcBorders>
            <w:shd w:val="clear" w:color="auto" w:fill="auto"/>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rPr>
            </w:pPr>
          </w:p>
        </w:tc>
        <w:tc>
          <w:tcPr>
            <w:tcW w:w="1950" w:type="dxa"/>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占 major 的百分比</w:t>
            </w:r>
          </w:p>
        </w:tc>
        <w:tc>
          <w:tcPr>
            <w:tcW w:w="738"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0.0%</w:t>
            </w:r>
          </w:p>
        </w:tc>
        <w:tc>
          <w:tcPr>
            <w:tcW w:w="10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78.2%</w:t>
            </w:r>
          </w:p>
        </w:tc>
        <w:tc>
          <w:tcPr>
            <w:tcW w:w="930"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13.9%</w:t>
            </w:r>
          </w:p>
        </w:tc>
        <w:tc>
          <w:tcPr>
            <w:tcW w:w="101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4.0%</w:t>
            </w:r>
          </w:p>
        </w:tc>
        <w:tc>
          <w:tcPr>
            <w:tcW w:w="91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4.0%</w:t>
            </w:r>
          </w:p>
        </w:tc>
        <w:tc>
          <w:tcPr>
            <w:tcW w:w="113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r>
        <w:trPr>
          <w:cantSplit/>
          <w:trHeight w:val="454" w:hRule="atLeast"/>
        </w:trPr>
        <w:tc>
          <w:tcPr>
            <w:tcW w:w="559" w:type="dxa"/>
            <w:vMerge w:val="restart"/>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会计</w:t>
            </w:r>
          </w:p>
        </w:tc>
        <w:tc>
          <w:tcPr>
            <w:tcW w:w="1950" w:type="dxa"/>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计数</w:t>
            </w:r>
          </w:p>
        </w:tc>
        <w:tc>
          <w:tcPr>
            <w:tcW w:w="738"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0</w:t>
            </w:r>
          </w:p>
        </w:tc>
        <w:tc>
          <w:tcPr>
            <w:tcW w:w="10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141</w:t>
            </w:r>
          </w:p>
        </w:tc>
        <w:tc>
          <w:tcPr>
            <w:tcW w:w="930"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18</w:t>
            </w:r>
          </w:p>
        </w:tc>
        <w:tc>
          <w:tcPr>
            <w:tcW w:w="101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w:t>
            </w:r>
          </w:p>
        </w:tc>
        <w:tc>
          <w:tcPr>
            <w:tcW w:w="91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w:t>
            </w:r>
          </w:p>
        </w:tc>
        <w:tc>
          <w:tcPr>
            <w:tcW w:w="113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170</w:t>
            </w:r>
          </w:p>
        </w:tc>
      </w:tr>
      <w:tr>
        <w:trPr>
          <w:cantSplit/>
        </w:trPr>
        <w:tc>
          <w:tcPr>
            <w:tcW w:w="559" w:type="dxa"/>
            <w:vMerge w:val="continue"/>
            <w:tcBorders>
              <w:tl2br w:val="nil"/>
              <w:tr2bl w:val="nil"/>
            </w:tcBorders>
            <w:shd w:val="clear" w:color="auto" w:fill="auto"/>
            <w:noWrap w:val="0"/>
            <w:vAlign w:val="center"/>
          </w:tcPr>
          <w:p>
            <w:pPr>
              <w:spacing w:beforeLines="0" w:afterLines="0" w:line="360" w:lineRule="auto"/>
              <w:jc w:val="center"/>
              <w:rPr>
                <w:rFonts w:hint="eastAsia" w:ascii="方正仿宋_GB2312" w:hAnsi="方正仿宋_GB2312" w:eastAsia="方正仿宋_GB2312" w:cs="方正仿宋_GB2312"/>
                <w:color w:val="auto"/>
                <w:sz w:val="21"/>
                <w:szCs w:val="21"/>
              </w:rPr>
            </w:pPr>
          </w:p>
        </w:tc>
        <w:tc>
          <w:tcPr>
            <w:tcW w:w="1950" w:type="dxa"/>
            <w:tcBorders>
              <w:tl2br w:val="nil"/>
              <w:tr2bl w:val="nil"/>
            </w:tcBorders>
            <w:shd w:val="clear" w:color="auto" w:fill="auto"/>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占 major 的百分比</w:t>
            </w:r>
          </w:p>
        </w:tc>
        <w:tc>
          <w:tcPr>
            <w:tcW w:w="738"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0.0%</w:t>
            </w:r>
          </w:p>
        </w:tc>
        <w:tc>
          <w:tcPr>
            <w:tcW w:w="103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82.9%</w:t>
            </w:r>
          </w:p>
        </w:tc>
        <w:tc>
          <w:tcPr>
            <w:tcW w:w="930"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10.6%</w:t>
            </w:r>
          </w:p>
        </w:tc>
        <w:tc>
          <w:tcPr>
            <w:tcW w:w="1015"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2.9%</w:t>
            </w:r>
          </w:p>
        </w:tc>
        <w:tc>
          <w:tcPr>
            <w:tcW w:w="912"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3.5%</w:t>
            </w:r>
          </w:p>
        </w:tc>
        <w:tc>
          <w:tcPr>
            <w:tcW w:w="1131" w:type="dxa"/>
            <w:tcBorders>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r>
        <w:trPr>
          <w:cantSplit/>
        </w:trPr>
        <w:tc>
          <w:tcPr>
            <w:tcW w:w="559" w:type="dxa"/>
            <w:vMerge w:val="restart"/>
            <w:tcBorders>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lang w:eastAsia="zh-Hans"/>
              </w:rPr>
            </w:pPr>
            <w:r>
              <w:rPr>
                <w:rFonts w:hint="eastAsia" w:ascii="方正仿宋_GB2312" w:hAnsi="方正仿宋_GB2312" w:eastAsia="方正仿宋_GB2312" w:cs="方正仿宋_GB2312"/>
                <w:color w:val="auto"/>
                <w:sz w:val="21"/>
                <w:szCs w:val="21"/>
                <w:lang w:val="en-US" w:eastAsia="zh-Hans"/>
              </w:rPr>
              <w:t>均值</w:t>
            </w:r>
          </w:p>
        </w:tc>
        <w:tc>
          <w:tcPr>
            <w:tcW w:w="1950" w:type="dxa"/>
            <w:tcBorders>
              <w:bottom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计数</w:t>
            </w:r>
          </w:p>
        </w:tc>
        <w:tc>
          <w:tcPr>
            <w:tcW w:w="738" w:type="dxa"/>
            <w:tcBorders>
              <w:bottom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w:t>
            </w:r>
          </w:p>
        </w:tc>
        <w:tc>
          <w:tcPr>
            <w:tcW w:w="1032" w:type="dxa"/>
            <w:tcBorders>
              <w:bottom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567</w:t>
            </w:r>
          </w:p>
        </w:tc>
        <w:tc>
          <w:tcPr>
            <w:tcW w:w="930" w:type="dxa"/>
            <w:tcBorders>
              <w:bottom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70</w:t>
            </w:r>
          </w:p>
        </w:tc>
        <w:tc>
          <w:tcPr>
            <w:tcW w:w="1015" w:type="dxa"/>
            <w:tcBorders>
              <w:bottom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19</w:t>
            </w:r>
          </w:p>
        </w:tc>
        <w:tc>
          <w:tcPr>
            <w:tcW w:w="912" w:type="dxa"/>
            <w:tcBorders>
              <w:bottom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30</w:t>
            </w:r>
          </w:p>
        </w:tc>
        <w:tc>
          <w:tcPr>
            <w:tcW w:w="1131" w:type="dxa"/>
            <w:tcBorders>
              <w:bottom w:val="nil"/>
              <w:right w:val="nil"/>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690</w:t>
            </w:r>
          </w:p>
        </w:tc>
      </w:tr>
      <w:tr>
        <w:trPr>
          <w:cantSplit/>
        </w:trPr>
        <w:tc>
          <w:tcPr>
            <w:tcW w:w="559" w:type="dxa"/>
            <w:vMerge w:val="continue"/>
            <w:tcBorders>
              <w:top w:val="single" w:color="auto" w:sz="4" w:space="0"/>
              <w:bottom w:val="single" w:color="auto" w:sz="4" w:space="0"/>
              <w:tl2br w:val="nil"/>
              <w:tr2bl w:val="nil"/>
            </w:tcBorders>
            <w:shd w:val="clear" w:color="auto" w:fill="FFFFFF"/>
            <w:noWrap w:val="0"/>
            <w:vAlign w:val="center"/>
          </w:tcPr>
          <w:p>
            <w:pPr>
              <w:shd w:val="clear" w:color="auto" w:fill="auto"/>
              <w:spacing w:beforeLines="0" w:afterLines="0" w:line="360" w:lineRule="auto"/>
              <w:jc w:val="center"/>
              <w:rPr>
                <w:rFonts w:hint="eastAsia" w:ascii="方正仿宋_GB2312" w:hAnsi="方正仿宋_GB2312" w:eastAsia="方正仿宋_GB2312" w:cs="方正仿宋_GB2312"/>
                <w:color w:val="auto"/>
                <w:sz w:val="21"/>
                <w:szCs w:val="21"/>
              </w:rPr>
            </w:pPr>
          </w:p>
        </w:tc>
        <w:tc>
          <w:tcPr>
            <w:tcW w:w="1950" w:type="dxa"/>
            <w:tcBorders>
              <w:top w:val="nil"/>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占 major 的百分比</w:t>
            </w:r>
          </w:p>
        </w:tc>
        <w:tc>
          <w:tcPr>
            <w:tcW w:w="738" w:type="dxa"/>
            <w:tcBorders>
              <w:top w:val="nil"/>
              <w:bottom w:val="single" w:color="auto" w:sz="4" w:space="0"/>
              <w:tl2br w:val="nil"/>
              <w:tr2bl w:val="nil"/>
            </w:tcBorders>
            <w:shd w:val="clear" w:color="auto" w:fill="FFFFFF"/>
            <w:noWrap w:val="0"/>
            <w:vAlign w:val="center"/>
          </w:tcPr>
          <w:p>
            <w:pPr>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0.6%</w:t>
            </w:r>
          </w:p>
        </w:tc>
        <w:tc>
          <w:tcPr>
            <w:tcW w:w="1032" w:type="dxa"/>
            <w:tcBorders>
              <w:top w:val="nil"/>
              <w:bottom w:val="single" w:color="auto" w:sz="4" w:space="0"/>
              <w:tl2br w:val="nil"/>
              <w:tr2bl w:val="nil"/>
            </w:tcBorders>
            <w:shd w:val="clear" w:color="auto" w:fill="FFFFFF"/>
            <w:noWrap w:val="0"/>
            <w:vAlign w:val="center"/>
          </w:tcPr>
          <w:p>
            <w:pPr>
              <w:shd w:val="clear" w:color="auto" w:fill="auto"/>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82.2%</w:t>
            </w:r>
          </w:p>
        </w:tc>
        <w:tc>
          <w:tcPr>
            <w:tcW w:w="930" w:type="dxa"/>
            <w:tcBorders>
              <w:top w:val="nil"/>
              <w:bottom w:val="single" w:color="auto" w:sz="4" w:space="0"/>
              <w:tl2br w:val="nil"/>
              <w:tr2bl w:val="nil"/>
            </w:tcBorders>
            <w:shd w:val="clear" w:color="auto" w:fill="FFFFFF"/>
            <w:noWrap w:val="0"/>
            <w:vAlign w:val="center"/>
          </w:tcPr>
          <w:p>
            <w:pPr>
              <w:shd w:val="clear" w:color="auto" w:fill="auto"/>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10.1%</w:t>
            </w:r>
          </w:p>
        </w:tc>
        <w:tc>
          <w:tcPr>
            <w:tcW w:w="1015" w:type="dxa"/>
            <w:tcBorders>
              <w:top w:val="nil"/>
              <w:bottom w:val="single" w:color="auto" w:sz="4" w:space="0"/>
              <w:tl2br w:val="nil"/>
              <w:tr2bl w:val="nil"/>
            </w:tcBorders>
            <w:shd w:val="clear" w:color="auto" w:fill="FFFFFF"/>
            <w:noWrap w:val="0"/>
            <w:vAlign w:val="center"/>
          </w:tcPr>
          <w:p>
            <w:pPr>
              <w:shd w:val="clear" w:color="auto" w:fill="auto"/>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2.8%</w:t>
            </w:r>
          </w:p>
        </w:tc>
        <w:tc>
          <w:tcPr>
            <w:tcW w:w="912" w:type="dxa"/>
            <w:tcBorders>
              <w:top w:val="nil"/>
              <w:bottom w:val="single" w:color="auto" w:sz="4" w:space="0"/>
              <w:tl2br w:val="nil"/>
              <w:tr2bl w:val="nil"/>
            </w:tcBorders>
            <w:shd w:val="clear" w:color="auto" w:fill="FFFFFF"/>
            <w:noWrap w:val="0"/>
            <w:vAlign w:val="center"/>
          </w:tcPr>
          <w:p>
            <w:pPr>
              <w:shd w:val="clear" w:color="auto" w:fill="auto"/>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4.3%</w:t>
            </w:r>
          </w:p>
        </w:tc>
        <w:tc>
          <w:tcPr>
            <w:tcW w:w="1131" w:type="dxa"/>
            <w:tcBorders>
              <w:top w:val="nil"/>
              <w:bottom w:val="single" w:color="auto" w:sz="4" w:space="0"/>
              <w:tl2br w:val="nil"/>
              <w:tr2bl w:val="nil"/>
            </w:tcBorders>
            <w:shd w:val="clear" w:color="auto" w:fill="FFFFFF"/>
            <w:noWrap w:val="0"/>
            <w:vAlign w:val="center"/>
          </w:tcPr>
          <w:p>
            <w:pPr>
              <w:shd w:val="clear" w:color="auto" w:fill="auto"/>
              <w:spacing w:beforeLines="0" w:afterLines="0" w:line="360" w:lineRule="auto"/>
              <w:ind w:left="60" w:right="60"/>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r>
    </w:tbl>
    <w:p>
      <w:pPr>
        <w:shd w:val="clear" w:color="auto" w:fill="auto"/>
        <w:spacing w:beforeLines="0" w:afterLines="0" w:line="360" w:lineRule="auto"/>
        <w:rPr>
          <w:rFonts w:hint="default" w:ascii="方正仿宋_GB2312" w:hAnsi="方正仿宋_GB2312" w:eastAsia="方正仿宋_GB2312" w:cs="方正仿宋_GB2312"/>
          <w:color w:val="auto"/>
          <w:sz w:val="21"/>
          <w:szCs w:val="21"/>
          <w:lang w:val="en-US" w:eastAsia="zh-CN"/>
        </w:rPr>
      </w:pPr>
    </w:p>
    <w:p>
      <w:pPr>
        <w:shd w:val="clear" w:color="auto" w:fill="auto"/>
        <w:spacing w:beforeLines="0" w:afterLines="0" w:line="360" w:lineRule="auto"/>
        <w:rPr>
          <w:rFonts w:hint="eastAsia" w:ascii="方正仿宋_GB2312" w:hAnsi="方正仿宋_GB2312" w:eastAsia="方正仿宋_GB2312" w:cs="方正仿宋_GB2312"/>
          <w:color w:val="auto"/>
          <w:sz w:val="21"/>
          <w:szCs w:val="21"/>
          <w:lang w:val="en-US" w:eastAsia="zh-CN"/>
        </w:rPr>
      </w:pPr>
      <w:r>
        <w:rPr>
          <w:rFonts w:hint="default" w:ascii="方正仿宋_GB2312" w:hAnsi="方正仿宋_GB2312" w:eastAsia="方正仿宋_GB2312" w:cs="方正仿宋_GB2312"/>
          <w:color w:val="auto"/>
          <w:sz w:val="21"/>
          <w:szCs w:val="21"/>
          <w:lang w:eastAsia="zh-CN"/>
        </w:rPr>
        <w:t xml:space="preserve">    </w:t>
      </w:r>
      <w:r>
        <w:rPr>
          <w:rFonts w:hint="eastAsia" w:ascii="方正仿宋_GB2312" w:hAnsi="方正仿宋_GB2312" w:eastAsia="方正仿宋_GB2312" w:cs="方正仿宋_GB2312"/>
          <w:color w:val="auto"/>
          <w:sz w:val="21"/>
          <w:szCs w:val="21"/>
          <w:lang w:val="en-US" w:eastAsia="zh-Hans"/>
        </w:rPr>
        <w:t>从列表发现，不同专业的同学在区域选择较倾向于珠三角区域，所有专业在该区域的占比明显高于其他区域。从区域看，各专业的占比差异也不明显，占比均在均值附近。</w:t>
      </w:r>
    </w:p>
    <w:p>
      <w:pPr>
        <w:numPr>
          <w:ilvl w:val="0"/>
          <w:numId w:val="0"/>
        </w:numPr>
        <w:spacing w:line="360" w:lineRule="auto"/>
        <w:ind w:leftChars="0"/>
        <w:rPr>
          <w:rFonts w:hint="eastAsia" w:ascii="方正仿宋_GB2312" w:hAnsi="方正仿宋_GB2312" w:eastAsia="方正仿宋_GB2312" w:cs="方正仿宋_GB2312"/>
          <w:b/>
          <w:bCs/>
          <w:color w:val="auto"/>
          <w:sz w:val="21"/>
          <w:szCs w:val="21"/>
          <w:lang w:val="en-US" w:eastAsia="zh-CN"/>
        </w:rPr>
      </w:pPr>
      <w:r>
        <w:rPr>
          <w:rFonts w:hint="eastAsia" w:ascii="方正仿宋_GB2312" w:hAnsi="方正仿宋_GB2312" w:eastAsia="方正仿宋_GB2312" w:cs="方正仿宋_GB2312"/>
          <w:b/>
          <w:bCs/>
          <w:color w:val="auto"/>
          <w:sz w:val="21"/>
          <w:szCs w:val="21"/>
          <w:lang w:val="en-US" w:eastAsia="zh-CN"/>
        </w:rPr>
        <w:t>四、结论和建议</w:t>
      </w:r>
    </w:p>
    <w:p>
      <w:pPr>
        <w:numPr>
          <w:ilvl w:val="0"/>
          <w:numId w:val="0"/>
        </w:numPr>
        <w:spacing w:line="360" w:lineRule="auto"/>
        <w:ind w:leftChars="0"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基于对广东省省属的某地方类高校的管理类专业的毕业实习数据分析发现：管理类专业学生的实习岗位和专业不一致现象较为突出，尤其是会计专业，其毕业实习岗位和专业的不一致比例达74.1%，卡方检验提示，不同专业间的一致性比例差异显著；在毕业实习行业选择方面，行业集中度较高，管理类专业多选择在生产生活服务业实习，且专业间存在明显的行业差异，另外，农业院校管理类专业学生毕业实习的“背农”现象值得关注；在实习单位地域选择方面，管理类学生多靠近学校所在地附近选择实习单位，统计检验结果表示，不同专业在区域选择方面没有区域倾向性（区域间差异未通过显著性检验）。</w:t>
      </w:r>
    </w:p>
    <w:p>
      <w:pPr>
        <w:numPr>
          <w:ilvl w:val="0"/>
          <w:numId w:val="0"/>
        </w:numPr>
        <w:spacing w:line="360" w:lineRule="auto"/>
        <w:ind w:leftChars="0"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基于以上研究分析和主要结论，本研究认为，在“新农科”建设背景下，面对对管理类大学生的教育和就业指导，必须注意加强引导，分类指导，才能更有效地、更好地帮助大学生找到适合的就业岗位、工作单位，实现推动大学生就业。</w:t>
      </w:r>
    </w:p>
    <w:p>
      <w:pPr>
        <w:numPr>
          <w:ilvl w:val="0"/>
          <w:numId w:val="0"/>
        </w:numPr>
        <w:spacing w:line="360" w:lineRule="auto"/>
        <w:ind w:leftChars="0"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为达成这一目标，建议做好：加强优化培养方案，强化素质能力培养和做好分类指导和就业指导。在培养方案优化方面，建议结合区域经济发展需求和学生诉求，设计弹性培养方案，将靶向性设计和个性化设计高度融合，实现因材施教；在强化素质能力方面，高校要强化特色培养，要坚持宽口径的同时，进一步强化培养学生的专业素质和专业能力，以进一步提高学生的就业竞争力；在就业指导方面，要分专业进行辅导和引导，在做好学生的就业倾向性分析基础上，集中学校、学院资源，积极主动开展分类指导，责任到人，提高就业指导的针对性。</w:t>
      </w:r>
    </w:p>
    <w:p>
      <w:pPr>
        <w:numPr>
          <w:ilvl w:val="0"/>
          <w:numId w:val="0"/>
        </w:numPr>
        <w:spacing w:line="360" w:lineRule="auto"/>
        <w:ind w:leftChars="0" w:firstLine="420" w:firstLineChars="20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本研究仅为一所学校一届学生的就业实习情况分析，在数据方面有一定局限性，但数据透视的问题是管理类专业学生就业实践中较为突出的问题，未来考虑跟踪“新农科”建设推进，进一步细化调研形成时间序列数据或者进行跟踪调研，可进一步提升研究结论准确性和应用价值。</w:t>
      </w:r>
    </w:p>
    <w:p>
      <w:pPr>
        <w:numPr>
          <w:ilvl w:val="0"/>
          <w:numId w:val="0"/>
        </w:numPr>
        <w:spacing w:line="360" w:lineRule="auto"/>
        <w:ind w:leftChars="0"/>
        <w:rPr>
          <w:rFonts w:hint="eastAsia" w:ascii="方正仿宋_GB2312" w:hAnsi="方正仿宋_GB2312" w:eastAsia="方正仿宋_GB2312" w:cs="方正仿宋_GB2312"/>
          <w:color w:val="auto"/>
          <w:sz w:val="21"/>
          <w:szCs w:val="21"/>
          <w:lang w:val="en-US" w:eastAsia="zh-CN"/>
        </w:rPr>
      </w:pPr>
    </w:p>
    <w:p>
      <w:pPr>
        <w:numPr>
          <w:ilvl w:val="0"/>
          <w:numId w:val="0"/>
        </w:numPr>
        <w:spacing w:line="360" w:lineRule="auto"/>
        <w:ind w:leftChars="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b/>
          <w:bCs/>
          <w:color w:val="auto"/>
          <w:sz w:val="21"/>
          <w:szCs w:val="21"/>
          <w:lang w:val="en-US" w:eastAsia="zh-CN"/>
        </w:rPr>
        <w:t>参考文献：</w:t>
      </w:r>
    </w:p>
    <w:p>
      <w:pPr>
        <w:numPr>
          <w:ilvl w:val="0"/>
          <w:numId w:val="0"/>
        </w:numPr>
        <w:spacing w:line="360" w:lineRule="auto"/>
        <w:ind w:leftChars="0"/>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[1] 王平祥,徐小霞,刘辉. 转型与重构:高校“新农科”建设发展探析[J]. 中国农业教育, 2020, 21(4): 54-60.</w:t>
      </w:r>
    </w:p>
    <w:p>
      <w:pPr>
        <w:numPr>
          <w:ilvl w:val="0"/>
          <w:numId w:val="0"/>
        </w:numPr>
        <w:spacing w:line="360" w:lineRule="auto"/>
        <w:ind w:leftChars="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sz w:val="21"/>
          <w:szCs w:val="21"/>
          <w:lang w:val="en-US" w:eastAsia="zh-CN"/>
        </w:rPr>
        <w:t>吕杰. 新农科建设背景下地方农业高校教育改革探索[J]. 高等农业教育, 2019, 314(2): 3-8.</w:t>
      </w:r>
    </w:p>
    <w:p>
      <w:pPr>
        <w:numPr>
          <w:ilvl w:val="0"/>
          <w:numId w:val="0"/>
        </w:numPr>
        <w:spacing w:line="360" w:lineRule="auto"/>
        <w:ind w:leftChars="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color w:val="auto"/>
          <w:sz w:val="21"/>
          <w:szCs w:val="21"/>
          <w:lang w:val="en-US" w:eastAsia="zh-CN"/>
        </w:rPr>
        <w:t>[3]</w:t>
      </w:r>
      <w:r>
        <w:rPr>
          <w:rFonts w:hint="eastAsia" w:ascii="方正仿宋_GB2312" w:hAnsi="方正仿宋_GB2312" w:eastAsia="方正仿宋_GB2312" w:cs="方正仿宋_GB2312"/>
          <w:sz w:val="21"/>
          <w:szCs w:val="21"/>
          <w:lang w:val="en-US" w:eastAsia="zh-CN"/>
        </w:rPr>
        <w:t>王言锋. 谈高校如何处理好大学生毕业实习与就业的关系[J]. 长春理工大学学报, 2010, 5(9): 11-12.</w:t>
      </w:r>
    </w:p>
    <w:p>
      <w:pPr>
        <w:numPr>
          <w:ilvl w:val="0"/>
          <w:numId w:val="0"/>
        </w:numPr>
        <w:spacing w:line="360" w:lineRule="auto"/>
        <w:ind w:leftChars="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sz w:val="21"/>
          <w:szCs w:val="21"/>
          <w:lang w:val="en-US" w:eastAsia="zh-CN"/>
        </w:rPr>
        <w:t>尹若珺,王馨第,张文颖. 大学生就业质量影响因素调查与研究——以吉林大学为例[J]. 中国大学生就业, 2016, 349(7): 44-49, 55.</w:t>
      </w:r>
    </w:p>
    <w:p>
      <w:pPr>
        <w:numPr>
          <w:ilvl w:val="0"/>
          <w:numId w:val="0"/>
        </w:numPr>
        <w:spacing w:line="360" w:lineRule="auto"/>
        <w:ind w:leftChars="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color w:val="auto"/>
          <w:sz w:val="21"/>
          <w:szCs w:val="21"/>
          <w:lang w:val="en-US" w:eastAsia="zh-CN"/>
        </w:rPr>
        <w:t>[5]</w:t>
      </w:r>
      <w:r>
        <w:rPr>
          <w:rFonts w:hint="eastAsia" w:ascii="方正仿宋_GB2312" w:hAnsi="方正仿宋_GB2312" w:eastAsia="方正仿宋_GB2312" w:cs="方正仿宋_GB2312"/>
          <w:sz w:val="21"/>
          <w:szCs w:val="21"/>
          <w:lang w:val="en-US" w:eastAsia="zh-CN"/>
        </w:rPr>
        <w:t>赵节昌,周卫东. 大学生毕业实习的心理变化及管理研究[J]. 教育教学论坛, 2013, 127(46): 87-88.</w:t>
      </w:r>
    </w:p>
    <w:p>
      <w:pPr>
        <w:numPr>
          <w:ilvl w:val="0"/>
          <w:numId w:val="0"/>
        </w:numPr>
        <w:spacing w:line="360" w:lineRule="auto"/>
        <w:ind w:leftChars="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color w:val="auto"/>
          <w:sz w:val="21"/>
          <w:szCs w:val="21"/>
          <w:lang w:val="en-US" w:eastAsia="zh-CN"/>
        </w:rPr>
        <w:t>[6]</w:t>
      </w:r>
      <w:r>
        <w:rPr>
          <w:rFonts w:hint="eastAsia" w:ascii="方正仿宋_GB2312" w:hAnsi="方正仿宋_GB2312" w:eastAsia="方正仿宋_GB2312" w:cs="方正仿宋_GB2312"/>
          <w:sz w:val="21"/>
          <w:szCs w:val="21"/>
          <w:lang w:val="en-US" w:eastAsia="zh-CN"/>
        </w:rPr>
        <w:t>张维延. 大学生毕业实习中的问题与思考——基于苏州大学2014届毕业生的调查[J]. 创新与创业教育, 2014, 5(6): 119-121.</w:t>
      </w:r>
    </w:p>
    <w:p>
      <w:pPr>
        <w:numPr>
          <w:ilvl w:val="0"/>
          <w:numId w:val="0"/>
        </w:numPr>
        <w:spacing w:line="360" w:lineRule="auto"/>
        <w:ind w:leftChars="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color w:val="auto"/>
          <w:sz w:val="21"/>
          <w:szCs w:val="21"/>
          <w:lang w:val="en-US" w:eastAsia="zh-CN"/>
        </w:rPr>
        <w:t>[7]</w:t>
      </w:r>
      <w:r>
        <w:rPr>
          <w:rFonts w:hint="eastAsia" w:ascii="方正仿宋_GB2312" w:hAnsi="方正仿宋_GB2312" w:eastAsia="方正仿宋_GB2312" w:cs="方正仿宋_GB2312"/>
          <w:sz w:val="21"/>
          <w:szCs w:val="21"/>
          <w:lang w:val="en-US" w:eastAsia="zh-CN"/>
        </w:rPr>
        <w:t>林琳,李一宁. 北京市属高校理工类本科专业毕业实习现状及对策研究[J]. 创新创业理论研究与实践, 2020, 3(24): 169-170, 176.</w:t>
      </w:r>
    </w:p>
    <w:p>
      <w:pPr>
        <w:numPr>
          <w:ilvl w:val="0"/>
          <w:numId w:val="0"/>
        </w:numPr>
        <w:spacing w:line="360" w:lineRule="auto"/>
        <w:ind w:leftChars="0"/>
        <w:rPr>
          <w:rFonts w:hint="eastAsia" w:ascii="方正仿宋_GB2312" w:hAnsi="方正仿宋_GB2312" w:eastAsia="方正仿宋_GB2312" w:cs="方正仿宋_GB2312"/>
          <w:sz w:val="21"/>
          <w:szCs w:val="21"/>
          <w:lang w:val="en-US" w:eastAsia="zh-CN"/>
        </w:rPr>
      </w:pPr>
    </w:p>
    <w:p>
      <w:pPr>
        <w:numPr>
          <w:ilvl w:val="0"/>
          <w:numId w:val="0"/>
        </w:numPr>
        <w:spacing w:line="360" w:lineRule="auto"/>
        <w:ind w:leftChars="0"/>
        <w:rPr>
          <w:rFonts w:hint="eastAsia" w:ascii="方正仿宋_GB2312" w:hAnsi="方正仿宋_GB2312" w:eastAsia="方正仿宋_GB2312" w:cs="方正仿宋_GB2312"/>
          <w:sz w:val="21"/>
          <w:szCs w:val="21"/>
          <w:lang w:val="en-US" w:eastAsia="zh-CN"/>
        </w:rPr>
      </w:pPr>
    </w:p>
    <w:p>
      <w:pPr>
        <w:numPr>
          <w:ilvl w:val="0"/>
          <w:numId w:val="0"/>
        </w:numPr>
        <w:spacing w:line="360" w:lineRule="auto"/>
        <w:ind w:leftChars="0"/>
        <w:jc w:val="center"/>
        <w:rPr>
          <w:rFonts w:hint="default" w:ascii="Arial" w:hAnsi="Arial" w:eastAsia="方正仿宋_GB2312" w:cs="Arial"/>
          <w:b/>
          <w:bCs/>
          <w:sz w:val="21"/>
          <w:szCs w:val="21"/>
          <w:lang w:val="en-US" w:eastAsia="zh-CN"/>
        </w:rPr>
      </w:pPr>
      <w:r>
        <w:rPr>
          <w:rFonts w:hint="eastAsia" w:ascii="Arial" w:hAnsi="Arial" w:eastAsia="方正仿宋_GB2312" w:cs="Arial"/>
          <w:b/>
          <w:bCs/>
          <w:sz w:val="21"/>
          <w:szCs w:val="21"/>
          <w:lang w:val="en-US" w:eastAsia="zh-CN"/>
        </w:rPr>
        <w:t>Profession</w:t>
      </w:r>
      <w:r>
        <w:rPr>
          <w:rFonts w:hint="default" w:ascii="Arial" w:hAnsi="Arial" w:eastAsia="方正仿宋_GB2312" w:cs="Arial"/>
          <w:b/>
          <w:bCs/>
          <w:sz w:val="21"/>
          <w:szCs w:val="21"/>
          <w:lang w:val="en-US" w:eastAsia="zh-CN"/>
        </w:rPr>
        <w:t xml:space="preserve">-Major Consistency, </w:t>
      </w:r>
      <w:r>
        <w:rPr>
          <w:rFonts w:hint="eastAsia" w:ascii="Arial" w:hAnsi="Arial" w:eastAsia="方正仿宋_GB2312" w:cs="Arial"/>
          <w:b/>
          <w:bCs/>
          <w:sz w:val="21"/>
          <w:szCs w:val="21"/>
          <w:lang w:val="en-US" w:eastAsia="zh-CN"/>
        </w:rPr>
        <w:t>Industry</w:t>
      </w:r>
      <w:r>
        <w:rPr>
          <w:rFonts w:hint="default" w:ascii="Arial" w:hAnsi="Arial" w:eastAsia="方正仿宋_GB2312" w:cs="Arial"/>
          <w:b/>
          <w:bCs/>
          <w:sz w:val="21"/>
          <w:szCs w:val="21"/>
          <w:lang w:val="en-US" w:eastAsia="zh-CN"/>
        </w:rPr>
        <w:t xml:space="preserve"> Choice and Regional Preference </w:t>
      </w:r>
    </w:p>
    <w:p>
      <w:pPr>
        <w:numPr>
          <w:ilvl w:val="0"/>
          <w:numId w:val="0"/>
        </w:numPr>
        <w:spacing w:line="360" w:lineRule="auto"/>
        <w:ind w:leftChars="0"/>
        <w:jc w:val="center"/>
        <w:rPr>
          <w:rFonts w:hint="default" w:ascii="Arial" w:hAnsi="Arial" w:eastAsia="方正仿宋_GB2312" w:cs="Arial"/>
          <w:b/>
          <w:bCs/>
          <w:sz w:val="21"/>
          <w:szCs w:val="21"/>
          <w:lang w:val="en-US" w:eastAsia="zh-CN"/>
        </w:rPr>
      </w:pPr>
      <w:r>
        <w:rPr>
          <w:rFonts w:hint="default" w:ascii="Arial" w:hAnsi="Arial" w:eastAsia="方正仿宋_GB2312" w:cs="Arial"/>
          <w:b/>
          <w:bCs/>
          <w:sz w:val="21"/>
          <w:szCs w:val="21"/>
          <w:lang w:val="en-US" w:eastAsia="zh-CN"/>
        </w:rPr>
        <w:t xml:space="preserve">of Graduation </w:t>
      </w:r>
      <w:r>
        <w:rPr>
          <w:rFonts w:hint="eastAsia" w:ascii="Arial" w:hAnsi="Arial" w:eastAsia="方正仿宋_GB2312" w:cs="Arial"/>
          <w:b/>
          <w:bCs/>
          <w:sz w:val="21"/>
          <w:szCs w:val="21"/>
          <w:lang w:val="en-US" w:eastAsia="zh-CN"/>
        </w:rPr>
        <w:t>Practice</w:t>
      </w:r>
      <w:r>
        <w:rPr>
          <w:rFonts w:hint="default" w:ascii="Arial" w:hAnsi="Arial" w:eastAsia="方正仿宋_GB2312" w:cs="Arial"/>
          <w:b/>
          <w:bCs/>
          <w:sz w:val="21"/>
          <w:szCs w:val="21"/>
          <w:lang w:val="en-US" w:eastAsia="zh-CN"/>
        </w:rPr>
        <w:t>-- Based on the investigation of management major of 2021</w:t>
      </w:r>
      <w:r>
        <w:rPr>
          <w:rFonts w:hint="eastAsia" w:ascii="Arial" w:hAnsi="Arial" w:eastAsia="方正仿宋_GB2312" w:cs="Arial"/>
          <w:b/>
          <w:bCs/>
          <w:sz w:val="21"/>
          <w:szCs w:val="21"/>
          <w:lang w:val="en-US" w:eastAsia="zh-CN"/>
        </w:rPr>
        <w:t xml:space="preserve"> in a University</w:t>
      </w:r>
    </w:p>
    <w:p>
      <w:pPr>
        <w:numPr>
          <w:ilvl w:val="0"/>
          <w:numId w:val="0"/>
        </w:numPr>
        <w:spacing w:line="360" w:lineRule="auto"/>
        <w:ind w:leftChars="0"/>
        <w:jc w:val="center"/>
        <w:rPr>
          <w:rFonts w:hint="default" w:ascii="Arial" w:hAnsi="Arial" w:eastAsia="方正仿宋_GB2312" w:cs="Arial"/>
          <w:b/>
          <w:bCs/>
          <w:sz w:val="21"/>
          <w:szCs w:val="21"/>
          <w:lang w:val="en-US" w:eastAsia="zh-CN"/>
        </w:rPr>
      </w:pPr>
      <w:r>
        <w:rPr>
          <w:rFonts w:hint="default" w:ascii="Arial" w:hAnsi="Arial" w:eastAsia="方正仿宋_GB2312" w:cs="Arial"/>
          <w:b/>
          <w:bCs/>
          <w:sz w:val="21"/>
          <w:szCs w:val="21"/>
          <w:lang w:val="en-US" w:eastAsia="zh-CN"/>
        </w:rPr>
        <w:t>Hou Jinqin</w:t>
      </w:r>
    </w:p>
    <w:p>
      <w:pPr>
        <w:numPr>
          <w:ilvl w:val="0"/>
          <w:numId w:val="0"/>
        </w:numPr>
        <w:spacing w:line="360" w:lineRule="auto"/>
        <w:ind w:leftChars="0"/>
        <w:jc w:val="center"/>
        <w:rPr>
          <w:rFonts w:hint="default" w:ascii="Arial" w:hAnsi="Arial" w:eastAsia="方正仿宋_GB2312" w:cs="Arial"/>
          <w:b/>
          <w:bCs/>
          <w:sz w:val="21"/>
          <w:szCs w:val="21"/>
          <w:lang w:val="en-US" w:eastAsia="zh-CN"/>
        </w:rPr>
      </w:pPr>
      <w:r>
        <w:rPr>
          <w:rFonts w:hint="default" w:ascii="Arial" w:hAnsi="Arial" w:eastAsia="方正仿宋_GB2312" w:cs="Arial"/>
          <w:b/>
          <w:bCs/>
          <w:sz w:val="21"/>
          <w:szCs w:val="21"/>
          <w:lang w:val="en-US" w:eastAsia="zh-CN"/>
        </w:rPr>
        <w:t>Zhongkai University of Agriculture and Engineering, Guangzhou 510225, China</w:t>
      </w:r>
    </w:p>
    <w:p>
      <w:pPr>
        <w:numPr>
          <w:ilvl w:val="0"/>
          <w:numId w:val="0"/>
        </w:numPr>
        <w:spacing w:line="360" w:lineRule="auto"/>
        <w:ind w:leftChars="0"/>
        <w:jc w:val="center"/>
        <w:rPr>
          <w:rFonts w:hint="default" w:ascii="Arial" w:hAnsi="Arial" w:eastAsia="方正仿宋_GB2312" w:cs="Arial"/>
          <w:b w:val="0"/>
          <w:bCs w:val="0"/>
          <w:sz w:val="21"/>
          <w:szCs w:val="21"/>
          <w:lang w:val="en-US" w:eastAsia="zh-CN"/>
        </w:rPr>
      </w:pPr>
    </w:p>
    <w:p>
      <w:pPr>
        <w:numPr>
          <w:ilvl w:val="0"/>
          <w:numId w:val="0"/>
        </w:numPr>
        <w:spacing w:line="360" w:lineRule="auto"/>
        <w:ind w:leftChars="0" w:firstLine="422" w:firstLineChars="200"/>
        <w:rPr>
          <w:rFonts w:hint="default" w:ascii="Arial" w:hAnsi="Arial" w:eastAsia="方正仿宋_GB2312" w:cs="Arial"/>
          <w:b w:val="0"/>
          <w:bCs w:val="0"/>
          <w:sz w:val="21"/>
          <w:szCs w:val="21"/>
          <w:lang w:val="en-US" w:eastAsia="zh-CN"/>
        </w:rPr>
      </w:pPr>
      <w:r>
        <w:rPr>
          <w:rFonts w:hint="default" w:ascii="Arial" w:hAnsi="Arial" w:eastAsia="方正仿宋_GB2312" w:cs="Arial"/>
          <w:b/>
          <w:bCs/>
          <w:sz w:val="21"/>
          <w:szCs w:val="21"/>
          <w:lang w:val="en-US" w:eastAsia="zh-CN"/>
        </w:rPr>
        <w:t>Abstract:</w:t>
      </w:r>
      <w:r>
        <w:rPr>
          <w:rFonts w:hint="default" w:ascii="Arial" w:hAnsi="Arial" w:eastAsia="方正仿宋_GB2312" w:cs="Arial"/>
          <w:b w:val="0"/>
          <w:bCs w:val="0"/>
          <w:sz w:val="21"/>
          <w:szCs w:val="21"/>
          <w:lang w:val="en-US" w:eastAsia="zh-CN"/>
        </w:rPr>
        <w:t xml:space="preserve"> The construction of "new agricultural science" requires higher agricultural education to provide more powerful talent support for rural revitalization.</w:t>
      </w:r>
      <w:r>
        <w:rPr>
          <w:rFonts w:hint="eastAsia" w:ascii="Arial" w:hAnsi="Arial" w:eastAsia="方正仿宋_GB2312" w:cs="Arial"/>
          <w:b w:val="0"/>
          <w:bCs w:val="0"/>
          <w:sz w:val="21"/>
          <w:szCs w:val="21"/>
          <w:lang w:val="en-US" w:eastAsia="zh-CN"/>
        </w:rPr>
        <w:t xml:space="preserve"> </w:t>
      </w:r>
      <w:r>
        <w:rPr>
          <w:rFonts w:hint="default" w:ascii="Arial" w:hAnsi="Arial" w:eastAsia="方正仿宋_GB2312" w:cs="Arial"/>
          <w:b w:val="0"/>
          <w:bCs w:val="0"/>
          <w:sz w:val="21"/>
          <w:szCs w:val="21"/>
          <w:lang w:val="en-US" w:eastAsia="zh-CN"/>
        </w:rPr>
        <w:t xml:space="preserve">Graduation practice is a key link to cultivate college students' employability and promote their employment. It is </w:t>
      </w:r>
      <w:r>
        <w:rPr>
          <w:rFonts w:hint="eastAsia" w:ascii="Arial" w:hAnsi="Arial" w:eastAsia="方正仿宋_GB2312" w:cs="Arial"/>
          <w:b w:val="0"/>
          <w:bCs w:val="0"/>
          <w:sz w:val="21"/>
          <w:szCs w:val="21"/>
          <w:lang w:val="en-US" w:eastAsia="zh-CN"/>
        </w:rPr>
        <w:t>great important</w:t>
      </w:r>
      <w:r>
        <w:rPr>
          <w:rFonts w:hint="default" w:ascii="Arial" w:hAnsi="Arial" w:eastAsia="方正仿宋_GB2312" w:cs="Arial"/>
          <w:b w:val="0"/>
          <w:bCs w:val="0"/>
          <w:sz w:val="21"/>
          <w:szCs w:val="21"/>
          <w:lang w:val="en-US" w:eastAsia="zh-CN"/>
        </w:rPr>
        <w:t xml:space="preserve"> to </w:t>
      </w:r>
      <w:r>
        <w:rPr>
          <w:rFonts w:hint="eastAsia" w:ascii="Arial" w:hAnsi="Arial" w:eastAsia="方正仿宋_GB2312" w:cs="Arial"/>
          <w:b w:val="0"/>
          <w:bCs w:val="0"/>
          <w:sz w:val="21"/>
          <w:szCs w:val="21"/>
          <w:lang w:val="en-US" w:eastAsia="zh-CN"/>
        </w:rPr>
        <w:t xml:space="preserve">help the students to </w:t>
      </w:r>
      <w:r>
        <w:rPr>
          <w:rFonts w:hint="default" w:ascii="Arial" w:hAnsi="Arial" w:eastAsia="方正仿宋_GB2312" w:cs="Arial"/>
          <w:b w:val="0"/>
          <w:bCs w:val="0"/>
          <w:sz w:val="21"/>
          <w:szCs w:val="21"/>
          <w:lang w:val="en-US" w:eastAsia="zh-CN"/>
        </w:rPr>
        <w:t>achieve training objectives, improve their ability and quality, promote college students' employment and devote themselves to rural revitalization.</w:t>
      </w:r>
      <w:r>
        <w:rPr>
          <w:rFonts w:hint="eastAsia" w:ascii="Arial" w:hAnsi="Arial" w:eastAsia="方正仿宋_GB2312" w:cs="Arial"/>
          <w:b w:val="0"/>
          <w:bCs w:val="0"/>
          <w:sz w:val="21"/>
          <w:szCs w:val="21"/>
          <w:lang w:val="en-US" w:eastAsia="zh-CN"/>
        </w:rPr>
        <w:t xml:space="preserve"> Based on the investigation of 690 college students who major in management subject of an agriculture university in GuangDong province, the features in </w:t>
      </w:r>
      <w:r>
        <w:rPr>
          <w:rFonts w:hint="default" w:ascii="Arial" w:hAnsi="Arial" w:eastAsia="方正仿宋_GB2312" w:cs="Arial"/>
          <w:b w:val="0"/>
          <w:bCs w:val="0"/>
          <w:sz w:val="21"/>
          <w:szCs w:val="21"/>
          <w:lang w:val="en-US" w:eastAsia="zh-CN"/>
        </w:rPr>
        <w:t>“</w:t>
      </w:r>
      <w:r>
        <w:rPr>
          <w:rFonts w:hint="eastAsia" w:ascii="Arial" w:hAnsi="Arial" w:eastAsia="方正仿宋_GB2312" w:cs="Arial"/>
          <w:b w:val="0"/>
          <w:bCs w:val="0"/>
          <w:sz w:val="21"/>
          <w:szCs w:val="21"/>
          <w:lang w:val="en-US" w:eastAsia="zh-CN"/>
        </w:rPr>
        <w:t>profession-major</w:t>
      </w:r>
      <w:r>
        <w:rPr>
          <w:rFonts w:hint="default" w:ascii="Arial" w:hAnsi="Arial" w:eastAsia="方正仿宋_GB2312" w:cs="Arial"/>
          <w:b w:val="0"/>
          <w:bCs w:val="0"/>
          <w:sz w:val="21"/>
          <w:szCs w:val="21"/>
          <w:lang w:val="en-US" w:eastAsia="zh-CN"/>
        </w:rPr>
        <w:t>”</w:t>
      </w:r>
      <w:r>
        <w:rPr>
          <w:rFonts w:hint="eastAsia" w:ascii="Arial" w:hAnsi="Arial" w:eastAsia="方正仿宋_GB2312" w:cs="Arial"/>
          <w:b w:val="0"/>
          <w:bCs w:val="0"/>
          <w:sz w:val="21"/>
          <w:szCs w:val="21"/>
          <w:lang w:val="en-US" w:eastAsia="zh-CN"/>
        </w:rPr>
        <w:t xml:space="preserve"> consistency and the regional preference were analyzed by using the statistical methods. The study found that the unconsistency between the major and the profession is a </w:t>
      </w:r>
      <w:r>
        <w:rPr>
          <w:rFonts w:hint="default" w:ascii="Arial" w:hAnsi="Arial" w:eastAsia="方正仿宋_GB2312" w:cs="Arial"/>
          <w:b w:val="0"/>
          <w:bCs w:val="0"/>
          <w:sz w:val="21"/>
          <w:szCs w:val="21"/>
          <w:lang w:val="en-US" w:eastAsia="zh-CN"/>
        </w:rPr>
        <w:t>prominen</w:t>
      </w:r>
      <w:r>
        <w:rPr>
          <w:rFonts w:hint="eastAsia" w:ascii="Arial" w:hAnsi="Arial" w:eastAsia="方正仿宋_GB2312" w:cs="Arial"/>
          <w:b w:val="0"/>
          <w:bCs w:val="0"/>
          <w:sz w:val="21"/>
          <w:szCs w:val="21"/>
          <w:lang w:val="en-US" w:eastAsia="zh-CN"/>
        </w:rPr>
        <w:t xml:space="preserve">t problem and the the unconsistency in different major had remarkable difference in statistics. The industry selection preference of different major was different, but there was no bias in the selection of regions. Most of the students chose regions where was closed to the location of the university. Based on these results, the following suggestions were put forward: the </w:t>
      </w:r>
      <w:r>
        <w:rPr>
          <w:rFonts w:hint="default" w:ascii="Arial" w:hAnsi="Arial" w:eastAsia="方正仿宋_GB2312" w:cs="Arial"/>
          <w:b w:val="0"/>
          <w:bCs w:val="0"/>
          <w:sz w:val="21"/>
          <w:szCs w:val="21"/>
          <w:lang w:val="en-US" w:eastAsia="zh-CN"/>
        </w:rPr>
        <w:t>agriculture-related colleges and universities should construct "new agricultural subjects" actively</w:t>
      </w:r>
      <w:r>
        <w:rPr>
          <w:rFonts w:hint="eastAsia" w:ascii="Arial" w:hAnsi="Arial" w:eastAsia="方正仿宋_GB2312" w:cs="Arial"/>
          <w:b w:val="0"/>
          <w:bCs w:val="0"/>
          <w:sz w:val="21"/>
          <w:szCs w:val="21"/>
          <w:lang w:val="en-US" w:eastAsia="zh-CN"/>
        </w:rPr>
        <w:t xml:space="preserve"> </w:t>
      </w:r>
      <w:r>
        <w:rPr>
          <w:rFonts w:hint="default" w:ascii="Arial" w:hAnsi="Arial" w:eastAsia="方正仿宋_GB2312" w:cs="Arial"/>
          <w:b w:val="0"/>
          <w:bCs w:val="0"/>
          <w:sz w:val="21"/>
          <w:szCs w:val="21"/>
          <w:lang w:val="en-US" w:eastAsia="zh-CN"/>
        </w:rPr>
        <w:t>to serve the rural revitalization strategy</w:t>
      </w:r>
      <w:r>
        <w:rPr>
          <w:rFonts w:hint="eastAsia" w:ascii="Arial" w:hAnsi="Arial" w:eastAsia="方正仿宋_GB2312" w:cs="Arial"/>
          <w:b w:val="0"/>
          <w:bCs w:val="0"/>
          <w:sz w:val="21"/>
          <w:szCs w:val="21"/>
          <w:lang w:val="en-US" w:eastAsia="zh-CN"/>
        </w:rPr>
        <w:t xml:space="preserve">; Three things should be strengthened: </w:t>
      </w:r>
      <w:r>
        <w:rPr>
          <w:rFonts w:hint="default" w:ascii="Arial" w:hAnsi="Arial" w:eastAsia="方正仿宋_GB2312" w:cs="Arial"/>
          <w:b w:val="0"/>
          <w:bCs w:val="0"/>
          <w:sz w:val="21"/>
          <w:szCs w:val="21"/>
          <w:lang w:val="en-US" w:eastAsia="zh-CN"/>
        </w:rPr>
        <w:t>optimiz</w:t>
      </w:r>
      <w:r>
        <w:rPr>
          <w:rFonts w:hint="eastAsia" w:ascii="Arial" w:hAnsi="Arial" w:eastAsia="方正仿宋_GB2312" w:cs="Arial"/>
          <w:b w:val="0"/>
          <w:bCs w:val="0"/>
          <w:sz w:val="21"/>
          <w:szCs w:val="21"/>
          <w:lang w:val="en-US" w:eastAsia="zh-CN"/>
        </w:rPr>
        <w:t>ing</w:t>
      </w:r>
      <w:r>
        <w:rPr>
          <w:rFonts w:hint="default" w:ascii="Arial" w:hAnsi="Arial" w:eastAsia="方正仿宋_GB2312" w:cs="Arial"/>
          <w:b w:val="0"/>
          <w:bCs w:val="0"/>
          <w:sz w:val="21"/>
          <w:szCs w:val="21"/>
          <w:lang w:val="en-US" w:eastAsia="zh-CN"/>
        </w:rPr>
        <w:t xml:space="preserve"> training scheme</w:t>
      </w:r>
      <w:r>
        <w:rPr>
          <w:rFonts w:hint="eastAsia" w:ascii="Arial" w:hAnsi="Arial" w:eastAsia="方正仿宋_GB2312" w:cs="Arial"/>
          <w:b w:val="0"/>
          <w:bCs w:val="0"/>
          <w:sz w:val="21"/>
          <w:szCs w:val="21"/>
          <w:lang w:val="en-US" w:eastAsia="zh-CN"/>
        </w:rPr>
        <w:t xml:space="preserve">, strengthening the </w:t>
      </w:r>
      <w:r>
        <w:rPr>
          <w:rFonts w:hint="default" w:ascii="Arial" w:hAnsi="Arial" w:eastAsia="方正仿宋_GB2312" w:cs="Arial"/>
          <w:b w:val="0"/>
          <w:bCs w:val="0"/>
          <w:sz w:val="21"/>
          <w:szCs w:val="21"/>
          <w:lang w:val="en-US" w:eastAsia="zh-CN"/>
        </w:rPr>
        <w:t>cultivation of quality and ability</w:t>
      </w:r>
      <w:r>
        <w:rPr>
          <w:rFonts w:hint="eastAsia" w:ascii="Arial" w:hAnsi="Arial" w:eastAsia="方正仿宋_GB2312" w:cs="Arial"/>
          <w:b w:val="0"/>
          <w:bCs w:val="0"/>
          <w:sz w:val="21"/>
          <w:szCs w:val="21"/>
          <w:lang w:val="en-US" w:eastAsia="zh-CN"/>
        </w:rPr>
        <w:t xml:space="preserve"> and doing better in employment guidance.</w:t>
      </w:r>
    </w:p>
    <w:p>
      <w:pPr>
        <w:numPr>
          <w:ilvl w:val="0"/>
          <w:numId w:val="0"/>
        </w:numPr>
        <w:spacing w:line="360" w:lineRule="auto"/>
        <w:ind w:leftChars="0" w:firstLine="422" w:firstLineChars="200"/>
        <w:rPr>
          <w:rFonts w:hint="default" w:ascii="Arial" w:hAnsi="Arial" w:eastAsia="方正仿宋_GB2312" w:cs="Arial"/>
          <w:b w:val="0"/>
          <w:bCs w:val="0"/>
          <w:sz w:val="21"/>
          <w:szCs w:val="21"/>
          <w:lang w:val="en-US" w:eastAsia="zh-CN"/>
        </w:rPr>
      </w:pPr>
      <w:r>
        <w:rPr>
          <w:rFonts w:hint="default" w:ascii="Arial" w:hAnsi="Arial" w:eastAsia="方正仿宋_GB2312" w:cs="Arial"/>
          <w:b/>
          <w:bCs/>
          <w:sz w:val="21"/>
          <w:szCs w:val="21"/>
          <w:lang w:val="en-US" w:eastAsia="zh-CN"/>
        </w:rPr>
        <w:t xml:space="preserve">Key words: </w:t>
      </w:r>
      <w:r>
        <w:rPr>
          <w:rFonts w:hint="eastAsia" w:ascii="Arial" w:hAnsi="Arial" w:eastAsia="方正仿宋_GB2312" w:cs="Arial"/>
          <w:b w:val="0"/>
          <w:bCs w:val="0"/>
          <w:sz w:val="21"/>
          <w:szCs w:val="21"/>
          <w:lang w:val="en-US" w:eastAsia="zh-CN"/>
        </w:rPr>
        <w:t>the C</w:t>
      </w:r>
      <w:r>
        <w:rPr>
          <w:rFonts w:hint="default" w:ascii="Arial" w:hAnsi="Arial" w:eastAsia="方正仿宋_GB2312" w:cs="Arial"/>
          <w:b w:val="0"/>
          <w:bCs w:val="0"/>
          <w:sz w:val="21"/>
          <w:szCs w:val="21"/>
          <w:lang w:val="en-US" w:eastAsia="zh-CN"/>
        </w:rPr>
        <w:t>onstruction</w:t>
      </w:r>
      <w:r>
        <w:rPr>
          <w:rFonts w:hint="eastAsia" w:ascii="Arial" w:hAnsi="Arial" w:eastAsia="方正仿宋_GB2312" w:cs="Arial"/>
          <w:b w:val="0"/>
          <w:bCs w:val="0"/>
          <w:sz w:val="21"/>
          <w:szCs w:val="21"/>
          <w:lang w:val="en-US" w:eastAsia="zh-CN"/>
        </w:rPr>
        <w:t xml:space="preserve"> </w:t>
      </w:r>
      <w:r>
        <w:rPr>
          <w:rFonts w:hint="default" w:ascii="Arial" w:hAnsi="Arial" w:eastAsia="方正仿宋_GB2312" w:cs="Arial"/>
          <w:b w:val="0"/>
          <w:bCs w:val="0"/>
          <w:sz w:val="21"/>
          <w:szCs w:val="21"/>
          <w:lang w:val="en-US" w:eastAsia="zh-CN"/>
        </w:rPr>
        <w:t xml:space="preserve">of </w:t>
      </w:r>
      <w:r>
        <w:rPr>
          <w:rFonts w:hint="eastAsia" w:ascii="Arial" w:hAnsi="Arial" w:eastAsia="方正仿宋_GB2312" w:cs="Arial"/>
          <w:b w:val="0"/>
          <w:bCs w:val="0"/>
          <w:sz w:val="21"/>
          <w:szCs w:val="21"/>
          <w:lang w:val="en-US" w:eastAsia="zh-CN"/>
        </w:rPr>
        <w:t>N</w:t>
      </w:r>
      <w:r>
        <w:rPr>
          <w:rFonts w:hint="default" w:ascii="Arial" w:hAnsi="Arial" w:eastAsia="方正仿宋_GB2312" w:cs="Arial"/>
          <w:b w:val="0"/>
          <w:bCs w:val="0"/>
          <w:sz w:val="21"/>
          <w:szCs w:val="21"/>
          <w:lang w:val="en-US" w:eastAsia="zh-CN"/>
        </w:rPr>
        <w:t xml:space="preserve">ew </w:t>
      </w:r>
      <w:r>
        <w:rPr>
          <w:rFonts w:hint="eastAsia" w:ascii="Arial" w:hAnsi="Arial" w:eastAsia="方正仿宋_GB2312" w:cs="Arial"/>
          <w:b w:val="0"/>
          <w:bCs w:val="0"/>
          <w:sz w:val="21"/>
          <w:szCs w:val="21"/>
          <w:lang w:val="en-US" w:eastAsia="zh-CN"/>
        </w:rPr>
        <w:t>A</w:t>
      </w:r>
      <w:r>
        <w:rPr>
          <w:rFonts w:hint="default" w:ascii="Arial" w:hAnsi="Arial" w:eastAsia="方正仿宋_GB2312" w:cs="Arial"/>
          <w:b w:val="0"/>
          <w:bCs w:val="0"/>
          <w:sz w:val="21"/>
          <w:szCs w:val="21"/>
          <w:lang w:val="en-US" w:eastAsia="zh-CN"/>
        </w:rPr>
        <w:t xml:space="preserve">gricultural </w:t>
      </w:r>
      <w:r>
        <w:rPr>
          <w:rFonts w:hint="eastAsia" w:ascii="Arial" w:hAnsi="Arial" w:eastAsia="方正仿宋_GB2312" w:cs="Arial"/>
          <w:b w:val="0"/>
          <w:bCs w:val="0"/>
          <w:sz w:val="21"/>
          <w:szCs w:val="21"/>
          <w:lang w:val="en-US" w:eastAsia="zh-CN"/>
        </w:rPr>
        <w:t>S</w:t>
      </w:r>
      <w:r>
        <w:rPr>
          <w:rFonts w:hint="default" w:ascii="Arial" w:hAnsi="Arial" w:eastAsia="方正仿宋_GB2312" w:cs="Arial"/>
          <w:b w:val="0"/>
          <w:bCs w:val="0"/>
          <w:sz w:val="21"/>
          <w:szCs w:val="21"/>
          <w:lang w:val="en-US" w:eastAsia="zh-CN"/>
        </w:rPr>
        <w:t>cience;</w:t>
      </w:r>
      <w:r>
        <w:rPr>
          <w:rFonts w:hint="eastAsia" w:ascii="Arial" w:hAnsi="Arial" w:eastAsia="方正仿宋_GB2312" w:cs="Arial"/>
          <w:b w:val="0"/>
          <w:bCs w:val="0"/>
          <w:sz w:val="21"/>
          <w:szCs w:val="21"/>
          <w:lang w:val="en-US" w:eastAsia="zh-CN"/>
        </w:rPr>
        <w:t xml:space="preserve"> </w:t>
      </w:r>
      <w:r>
        <w:rPr>
          <w:rFonts w:hint="default" w:ascii="Arial" w:hAnsi="Arial" w:eastAsia="方正仿宋_GB2312" w:cs="Arial"/>
          <w:b w:val="0"/>
          <w:bCs w:val="0"/>
          <w:sz w:val="21"/>
          <w:szCs w:val="21"/>
          <w:lang w:val="en-US" w:eastAsia="zh-CN"/>
        </w:rPr>
        <w:t xml:space="preserve">College </w:t>
      </w:r>
      <w:r>
        <w:rPr>
          <w:rFonts w:hint="eastAsia" w:ascii="Arial" w:hAnsi="Arial" w:eastAsia="方正仿宋_GB2312" w:cs="Arial"/>
          <w:b w:val="0"/>
          <w:bCs w:val="0"/>
          <w:sz w:val="21"/>
          <w:szCs w:val="21"/>
          <w:lang w:val="en-US" w:eastAsia="zh-CN"/>
        </w:rPr>
        <w:t>S</w:t>
      </w:r>
      <w:r>
        <w:rPr>
          <w:rFonts w:hint="default" w:ascii="Arial" w:hAnsi="Arial" w:eastAsia="方正仿宋_GB2312" w:cs="Arial"/>
          <w:b w:val="0"/>
          <w:bCs w:val="0"/>
          <w:sz w:val="21"/>
          <w:szCs w:val="21"/>
          <w:lang w:val="en-US" w:eastAsia="zh-CN"/>
        </w:rPr>
        <w:t xml:space="preserve">tudents </w:t>
      </w:r>
      <w:r>
        <w:rPr>
          <w:rFonts w:hint="eastAsia" w:ascii="Arial" w:hAnsi="Arial" w:eastAsia="方正仿宋_GB2312" w:cs="Arial"/>
          <w:b w:val="0"/>
          <w:bCs w:val="0"/>
          <w:sz w:val="21"/>
          <w:szCs w:val="21"/>
          <w:lang w:val="en-US" w:eastAsia="zh-CN"/>
        </w:rPr>
        <w:t>E</w:t>
      </w:r>
      <w:r>
        <w:rPr>
          <w:rFonts w:hint="default" w:ascii="Arial" w:hAnsi="Arial" w:eastAsia="方正仿宋_GB2312" w:cs="Arial"/>
          <w:b w:val="0"/>
          <w:bCs w:val="0"/>
          <w:sz w:val="21"/>
          <w:szCs w:val="21"/>
          <w:lang w:val="en-US" w:eastAsia="zh-CN"/>
        </w:rPr>
        <w:t>mployment;</w:t>
      </w:r>
      <w:r>
        <w:rPr>
          <w:rFonts w:hint="eastAsia" w:ascii="Arial" w:hAnsi="Arial" w:eastAsia="方正仿宋_GB2312" w:cs="Arial"/>
          <w:b w:val="0"/>
          <w:bCs w:val="0"/>
          <w:sz w:val="21"/>
          <w:szCs w:val="21"/>
          <w:lang w:val="en-US" w:eastAsia="zh-CN"/>
        </w:rPr>
        <w:t xml:space="preserve"> </w:t>
      </w:r>
      <w:r>
        <w:rPr>
          <w:rFonts w:hint="default" w:ascii="Arial" w:hAnsi="Arial" w:eastAsia="方正仿宋_GB2312" w:cs="Arial"/>
          <w:b w:val="0"/>
          <w:bCs w:val="0"/>
          <w:sz w:val="21"/>
          <w:szCs w:val="21"/>
          <w:lang w:val="en-US" w:eastAsia="zh-CN"/>
        </w:rPr>
        <w:t xml:space="preserve">Graduation </w:t>
      </w:r>
      <w:r>
        <w:rPr>
          <w:rFonts w:hint="eastAsia" w:ascii="Arial" w:hAnsi="Arial" w:eastAsia="方正仿宋_GB2312" w:cs="Arial"/>
          <w:b w:val="0"/>
          <w:bCs w:val="0"/>
          <w:sz w:val="21"/>
          <w:szCs w:val="21"/>
          <w:lang w:val="en-US" w:eastAsia="zh-CN"/>
        </w:rPr>
        <w:t>P</w:t>
      </w:r>
      <w:r>
        <w:rPr>
          <w:rFonts w:hint="default" w:ascii="Arial" w:hAnsi="Arial" w:eastAsia="方正仿宋_GB2312" w:cs="Arial"/>
          <w:b w:val="0"/>
          <w:bCs w:val="0"/>
          <w:sz w:val="21"/>
          <w:szCs w:val="21"/>
          <w:lang w:val="en-US" w:eastAsia="zh-CN"/>
        </w:rPr>
        <w:t>ractice;</w:t>
      </w:r>
      <w:r>
        <w:rPr>
          <w:rFonts w:hint="eastAsia" w:ascii="Arial" w:hAnsi="Arial" w:eastAsia="方正仿宋_GB2312" w:cs="Arial"/>
          <w:b w:val="0"/>
          <w:bCs w:val="0"/>
          <w:sz w:val="21"/>
          <w:szCs w:val="21"/>
          <w:lang w:val="en-US" w:eastAsia="zh-CN"/>
        </w:rPr>
        <w:t xml:space="preserve"> Industry</w:t>
      </w:r>
      <w:r>
        <w:rPr>
          <w:rFonts w:hint="default" w:ascii="Arial" w:hAnsi="Arial" w:eastAsia="方正仿宋_GB2312" w:cs="Arial"/>
          <w:b w:val="0"/>
          <w:bCs w:val="0"/>
          <w:sz w:val="21"/>
          <w:szCs w:val="21"/>
          <w:lang w:val="en-US" w:eastAsia="zh-CN"/>
        </w:rPr>
        <w:t xml:space="preserve"> </w:t>
      </w:r>
      <w:r>
        <w:rPr>
          <w:rFonts w:hint="eastAsia" w:ascii="Arial" w:hAnsi="Arial" w:eastAsia="方正仿宋_GB2312" w:cs="Arial"/>
          <w:b w:val="0"/>
          <w:bCs w:val="0"/>
          <w:sz w:val="21"/>
          <w:szCs w:val="21"/>
          <w:lang w:val="en-US" w:eastAsia="zh-CN"/>
        </w:rPr>
        <w:t>C</w:t>
      </w:r>
      <w:r>
        <w:rPr>
          <w:rFonts w:hint="default" w:ascii="Arial" w:hAnsi="Arial" w:eastAsia="方正仿宋_GB2312" w:cs="Arial"/>
          <w:b w:val="0"/>
          <w:bCs w:val="0"/>
          <w:sz w:val="21"/>
          <w:szCs w:val="21"/>
          <w:lang w:val="en-US" w:eastAsia="zh-CN"/>
        </w:rPr>
        <w:t>hoice;</w:t>
      </w:r>
      <w:r>
        <w:rPr>
          <w:rFonts w:hint="eastAsia" w:ascii="Arial" w:hAnsi="Arial" w:eastAsia="方正仿宋_GB2312" w:cs="Arial"/>
          <w:b w:val="0"/>
          <w:bCs w:val="0"/>
          <w:sz w:val="21"/>
          <w:szCs w:val="21"/>
          <w:lang w:val="en-US" w:eastAsia="zh-CN"/>
        </w:rPr>
        <w:t xml:space="preserve"> </w:t>
      </w:r>
      <w:r>
        <w:rPr>
          <w:rFonts w:hint="default" w:ascii="Arial" w:hAnsi="Arial" w:eastAsia="方正仿宋_GB2312" w:cs="Arial"/>
          <w:b w:val="0"/>
          <w:bCs w:val="0"/>
          <w:sz w:val="21"/>
          <w:szCs w:val="21"/>
          <w:lang w:val="en-US" w:eastAsia="zh-CN"/>
        </w:rPr>
        <w:t xml:space="preserve">Regional </w:t>
      </w:r>
      <w:r>
        <w:rPr>
          <w:rFonts w:hint="eastAsia" w:ascii="Arial" w:hAnsi="Arial" w:eastAsia="方正仿宋_GB2312" w:cs="Arial"/>
          <w:b w:val="0"/>
          <w:bCs w:val="0"/>
          <w:sz w:val="21"/>
          <w:szCs w:val="21"/>
          <w:lang w:val="en-US" w:eastAsia="zh-CN"/>
        </w:rPr>
        <w:t>P</w:t>
      </w:r>
      <w:r>
        <w:rPr>
          <w:rFonts w:hint="default" w:ascii="Arial" w:hAnsi="Arial" w:eastAsia="方正仿宋_GB2312" w:cs="Arial"/>
          <w:b w:val="0"/>
          <w:bCs w:val="0"/>
          <w:sz w:val="21"/>
          <w:szCs w:val="21"/>
          <w:lang w:val="en-US" w:eastAsia="zh-CN"/>
        </w:rPr>
        <w:t>reference</w:t>
      </w:r>
    </w:p>
    <w:p>
      <w:pPr>
        <w:numPr>
          <w:ilvl w:val="0"/>
          <w:numId w:val="0"/>
        </w:numPr>
        <w:spacing w:line="360" w:lineRule="auto"/>
        <w:ind w:leftChars="0"/>
        <w:rPr>
          <w:rFonts w:hint="default" w:ascii="Arial" w:hAnsi="Arial" w:eastAsia="方正仿宋_GB2312" w:cs="Arial"/>
          <w:b w:val="0"/>
          <w:bCs w:val="0"/>
          <w:sz w:val="21"/>
          <w:szCs w:val="21"/>
          <w:lang w:val="en-US" w:eastAsia="zh-CN"/>
        </w:rPr>
      </w:pPr>
    </w:p>
    <w:p>
      <w:pPr>
        <w:numPr>
          <w:ilvl w:val="0"/>
          <w:numId w:val="0"/>
        </w:numPr>
        <w:spacing w:line="360" w:lineRule="auto"/>
        <w:ind w:leftChars="0"/>
        <w:rPr>
          <w:rFonts w:hint="default" w:ascii="Arial" w:hAnsi="Arial" w:eastAsia="方正仿宋_GB2312" w:cs="Arial"/>
          <w:b w:val="0"/>
          <w:bCs w:val="0"/>
          <w:sz w:val="21"/>
          <w:szCs w:val="21"/>
          <w:lang w:val="en-US" w:eastAsia="zh-CN"/>
        </w:rPr>
      </w:pPr>
    </w:p>
    <w:p>
      <w:pPr>
        <w:numPr>
          <w:ilvl w:val="0"/>
          <w:numId w:val="0"/>
        </w:numPr>
        <w:spacing w:line="360" w:lineRule="auto"/>
        <w:ind w:leftChars="0"/>
        <w:rPr>
          <w:rFonts w:hint="eastAsia" w:ascii="Arial" w:hAnsi="Arial" w:eastAsia="方正仿宋_GB2312" w:cs="Arial"/>
          <w:b w:val="0"/>
          <w:bCs w:val="0"/>
          <w:sz w:val="21"/>
          <w:szCs w:val="21"/>
          <w:lang w:val="en-US" w:eastAsia="zh-CN"/>
        </w:rPr>
      </w:pPr>
      <w:r>
        <w:rPr>
          <w:rFonts w:hint="eastAsia" w:ascii="Arial" w:hAnsi="Arial" w:eastAsia="方正仿宋_GB2312" w:cs="Arial"/>
          <w:b w:val="0"/>
          <w:bCs w:val="0"/>
          <w:sz w:val="21"/>
          <w:szCs w:val="21"/>
          <w:lang w:val="en-US" w:eastAsia="zh-CN"/>
        </w:rPr>
        <w:t>作者简介：</w:t>
      </w:r>
    </w:p>
    <w:p>
      <w:pPr>
        <w:numPr>
          <w:ilvl w:val="0"/>
          <w:numId w:val="0"/>
        </w:numPr>
        <w:spacing w:line="360" w:lineRule="auto"/>
        <w:ind w:leftChars="0"/>
        <w:rPr>
          <w:rFonts w:hint="eastAsia" w:ascii="Arial" w:hAnsi="Arial" w:eastAsia="方正仿宋_GB2312" w:cs="Arial"/>
          <w:b w:val="0"/>
          <w:bCs w:val="0"/>
          <w:sz w:val="21"/>
          <w:szCs w:val="21"/>
          <w:lang w:val="en-US" w:eastAsia="zh-CN"/>
        </w:rPr>
      </w:pPr>
      <w:r>
        <w:rPr>
          <w:rFonts w:hint="eastAsia" w:ascii="Arial" w:hAnsi="Arial" w:eastAsia="方正仿宋_GB2312" w:cs="Arial"/>
          <w:b w:val="0"/>
          <w:bCs w:val="0"/>
          <w:sz w:val="21"/>
          <w:szCs w:val="21"/>
          <w:lang w:val="en-US" w:eastAsia="zh-CN"/>
        </w:rPr>
        <w:t>候锦琴（1980-），女，广东梅县人。助理研究员，硕士，从事高等农业教育管理、农业技术推广研究。</w:t>
      </w:r>
    </w:p>
    <w:p>
      <w:pPr>
        <w:numPr>
          <w:ilvl w:val="0"/>
          <w:numId w:val="0"/>
        </w:numPr>
        <w:spacing w:line="360" w:lineRule="auto"/>
        <w:ind w:leftChars="0"/>
        <w:rPr>
          <w:rFonts w:hint="eastAsia" w:ascii="Arial" w:hAnsi="Arial" w:eastAsia="方正仿宋_GB2312" w:cs="Arial"/>
          <w:b w:val="0"/>
          <w:bCs w:val="0"/>
          <w:sz w:val="21"/>
          <w:szCs w:val="21"/>
          <w:lang w:val="en-US" w:eastAsia="zh-CN"/>
        </w:rPr>
      </w:pPr>
      <w:r>
        <w:rPr>
          <w:rFonts w:hint="eastAsia" w:ascii="Arial" w:hAnsi="Arial" w:eastAsia="方正仿宋_GB2312" w:cs="Arial"/>
          <w:b w:val="0"/>
          <w:bCs w:val="0"/>
          <w:sz w:val="21"/>
          <w:szCs w:val="21"/>
          <w:lang w:val="en-US" w:eastAsia="zh-CN"/>
        </w:rPr>
        <w:t>邮箱：</w:t>
      </w:r>
      <w:r>
        <w:rPr>
          <w:rFonts w:hint="eastAsia" w:ascii="Arial" w:hAnsi="Arial" w:eastAsia="方正仿宋_GB2312" w:cs="Arial"/>
          <w:b w:val="0"/>
          <w:bCs w:val="0"/>
          <w:sz w:val="21"/>
          <w:szCs w:val="21"/>
          <w:lang w:val="en-US" w:eastAsia="zh-CN"/>
        </w:rPr>
        <w:fldChar w:fldCharType="begin"/>
      </w:r>
      <w:r>
        <w:rPr>
          <w:rFonts w:hint="eastAsia" w:ascii="Arial" w:hAnsi="Arial" w:eastAsia="方正仿宋_GB2312" w:cs="Arial"/>
          <w:b w:val="0"/>
          <w:bCs w:val="0"/>
          <w:sz w:val="21"/>
          <w:szCs w:val="21"/>
          <w:lang w:val="en-US" w:eastAsia="zh-CN"/>
        </w:rPr>
        <w:instrText xml:space="preserve"> HYPERLINK "mailto:36907851@qq.com；" </w:instrText>
      </w:r>
      <w:r>
        <w:rPr>
          <w:rFonts w:hint="eastAsia" w:ascii="Arial" w:hAnsi="Arial" w:eastAsia="方正仿宋_GB2312" w:cs="Arial"/>
          <w:b w:val="0"/>
          <w:bCs w:val="0"/>
          <w:sz w:val="21"/>
          <w:szCs w:val="21"/>
          <w:lang w:val="en-US" w:eastAsia="zh-CN"/>
        </w:rPr>
        <w:fldChar w:fldCharType="separate"/>
      </w:r>
      <w:r>
        <w:rPr>
          <w:rStyle w:val="10"/>
          <w:rFonts w:hint="eastAsia" w:ascii="Arial" w:hAnsi="Arial" w:eastAsia="方正仿宋_GB2312" w:cs="Arial"/>
          <w:b w:val="0"/>
          <w:bCs w:val="0"/>
          <w:sz w:val="21"/>
          <w:szCs w:val="21"/>
          <w:lang w:val="en-US" w:eastAsia="zh-CN"/>
        </w:rPr>
        <w:t>36907851@qq.com；</w:t>
      </w:r>
      <w:r>
        <w:rPr>
          <w:rFonts w:hint="eastAsia" w:ascii="Arial" w:hAnsi="Arial" w:eastAsia="方正仿宋_GB2312" w:cs="Arial"/>
          <w:b w:val="0"/>
          <w:bCs w:val="0"/>
          <w:sz w:val="21"/>
          <w:szCs w:val="21"/>
          <w:lang w:val="en-US" w:eastAsia="zh-CN"/>
        </w:rPr>
        <w:fldChar w:fldCharType="end"/>
      </w:r>
    </w:p>
    <w:p>
      <w:pPr>
        <w:numPr>
          <w:ilvl w:val="0"/>
          <w:numId w:val="0"/>
        </w:numPr>
        <w:spacing w:line="360" w:lineRule="auto"/>
        <w:ind w:leftChars="0"/>
        <w:rPr>
          <w:rFonts w:hint="default" w:ascii="Arial" w:hAnsi="Arial" w:eastAsia="方正仿宋_GB2312" w:cs="Arial"/>
          <w:b w:val="0"/>
          <w:bCs w:val="0"/>
          <w:sz w:val="21"/>
          <w:szCs w:val="21"/>
          <w:lang w:eastAsia="zh-Hans"/>
        </w:rPr>
      </w:pPr>
      <w:r>
        <w:rPr>
          <w:rFonts w:hint="eastAsia" w:ascii="Arial" w:hAnsi="Arial" w:eastAsia="方正仿宋_GB2312" w:cs="Arial"/>
          <w:b w:val="0"/>
          <w:bCs w:val="0"/>
          <w:sz w:val="21"/>
          <w:szCs w:val="21"/>
          <w:lang w:val="en-US" w:eastAsia="zh-Hans"/>
        </w:rPr>
        <w:t>联系电话</w:t>
      </w:r>
      <w:r>
        <w:rPr>
          <w:rFonts w:hint="default" w:ascii="Arial" w:hAnsi="Arial" w:eastAsia="方正仿宋_GB2312" w:cs="Arial"/>
          <w:b w:val="0"/>
          <w:bCs w:val="0"/>
          <w:sz w:val="21"/>
          <w:szCs w:val="21"/>
          <w:lang w:eastAsia="zh-Hans"/>
        </w:rPr>
        <w:t>：13249620667</w:t>
      </w:r>
    </w:p>
    <w:p>
      <w:pPr>
        <w:numPr>
          <w:ilvl w:val="0"/>
          <w:numId w:val="0"/>
        </w:numPr>
        <w:spacing w:line="360" w:lineRule="auto"/>
        <w:ind w:leftChars="0"/>
        <w:rPr>
          <w:rFonts w:hint="default" w:ascii="Arial" w:hAnsi="Arial" w:eastAsia="方正仿宋_GB2312" w:cs="Arial"/>
          <w:b w:val="0"/>
          <w:bCs w:val="0"/>
          <w:sz w:val="21"/>
          <w:szCs w:val="21"/>
          <w:lang w:val="en-US" w:eastAsia="zh-CN"/>
        </w:rPr>
      </w:pPr>
      <w:bookmarkStart w:id="1" w:name="_GoBack"/>
      <w:bookmarkEnd w:id="1"/>
    </w:p>
    <w:p>
      <w:pPr>
        <w:numPr>
          <w:ilvl w:val="0"/>
          <w:numId w:val="0"/>
        </w:numPr>
        <w:spacing w:line="360" w:lineRule="auto"/>
        <w:ind w:leftChars="0"/>
        <w:rPr>
          <w:rFonts w:hint="default" w:ascii="Arial" w:hAnsi="Arial" w:eastAsia="方正仿宋_GB2312" w:cs="Arial"/>
          <w:b w:val="0"/>
          <w:bCs w:val="0"/>
          <w:sz w:val="21"/>
          <w:szCs w:val="21"/>
          <w:lang w:val="en-US" w:eastAsia="zh-CN"/>
        </w:rPr>
      </w:pPr>
    </w:p>
    <w:p>
      <w:pPr>
        <w:numPr>
          <w:ilvl w:val="0"/>
          <w:numId w:val="0"/>
        </w:numPr>
        <w:spacing w:line="360" w:lineRule="auto"/>
        <w:ind w:leftChars="0"/>
        <w:rPr>
          <w:rFonts w:hint="default" w:ascii="Arial" w:hAnsi="Arial" w:eastAsia="方正仿宋_GB2312" w:cs="Arial"/>
          <w:b w:val="0"/>
          <w:bCs w:val="0"/>
          <w:sz w:val="21"/>
          <w:szCs w:val="21"/>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ingLiU">
    <w:altName w:val="宋体-繁"/>
    <w:panose1 w:val="00000000000000000000"/>
    <w:charset w:val="00"/>
    <w:family w:val="roman"/>
    <w:pitch w:val="default"/>
    <w:sig w:usb0="00000000" w:usb1="00000000" w:usb2="00000000" w:usb3="00000000" w:csb0="00000001" w:csb1="00000000"/>
  </w:font>
  <w:font w:name="宋体-繁">
    <w:panose1 w:val="02010600040101010101"/>
    <w:charset w:val="86"/>
    <w:family w:val="auto"/>
    <w:pitch w:val="default"/>
    <w:sig w:usb0="00000000" w:usb1="00000000" w:usb2="00000000" w:usb3="00000000" w:csb0="0016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85047"/>
    <w:multiLevelType w:val="singleLevel"/>
    <w:tmpl w:val="8E385047"/>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40C3A"/>
    <w:rsid w:val="07F12577"/>
    <w:rsid w:val="0F5A2300"/>
    <w:rsid w:val="0FFD5B4E"/>
    <w:rsid w:val="12346400"/>
    <w:rsid w:val="13DA6AEC"/>
    <w:rsid w:val="15D01F87"/>
    <w:rsid w:val="16A71613"/>
    <w:rsid w:val="179E0877"/>
    <w:rsid w:val="1A794435"/>
    <w:rsid w:val="1B7B05C7"/>
    <w:rsid w:val="1D3F3B62"/>
    <w:rsid w:val="21B020C5"/>
    <w:rsid w:val="220472C8"/>
    <w:rsid w:val="289138C4"/>
    <w:rsid w:val="2B295828"/>
    <w:rsid w:val="2D263C1C"/>
    <w:rsid w:val="33FF3992"/>
    <w:rsid w:val="366B3D70"/>
    <w:rsid w:val="3FCB322A"/>
    <w:rsid w:val="487D5EAE"/>
    <w:rsid w:val="4CA61956"/>
    <w:rsid w:val="4ED45331"/>
    <w:rsid w:val="4FFC3730"/>
    <w:rsid w:val="56CC5640"/>
    <w:rsid w:val="57D50F28"/>
    <w:rsid w:val="584A6DB8"/>
    <w:rsid w:val="5ABC1CD6"/>
    <w:rsid w:val="5FE337A6"/>
    <w:rsid w:val="61487188"/>
    <w:rsid w:val="6F9E712F"/>
    <w:rsid w:val="6FAC106C"/>
    <w:rsid w:val="72C146D3"/>
    <w:rsid w:val="72CD2B50"/>
    <w:rsid w:val="78AB2DB0"/>
    <w:rsid w:val="7C220427"/>
    <w:rsid w:val="7F2F254B"/>
    <w:rsid w:val="7FBF4CBE"/>
    <w:rsid w:val="B57F24E3"/>
    <w:rsid w:val="BF5E02D4"/>
    <w:rsid w:val="D74F78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unhideWhenUsed/>
    <w:qFormat/>
    <w:uiPriority w:val="99"/>
    <w:pPr>
      <w:widowControl w:val="0"/>
      <w:autoSpaceDE w:val="0"/>
      <w:autoSpaceDN w:val="0"/>
      <w:adjustRightInd w:val="0"/>
      <w:spacing w:beforeLines="0" w:afterLines="0"/>
      <w:outlineLvl w:val="0"/>
    </w:pPr>
    <w:rPr>
      <w:rFonts w:hint="default" w:ascii="MingLiU" w:hAnsi="MingLiU" w:eastAsia="MingLiU" w:cs="Times New Roman"/>
      <w:b/>
      <w:color w:val="000000"/>
      <w:sz w:val="32"/>
      <w:szCs w:val="24"/>
    </w:rPr>
  </w:style>
  <w:style w:type="paragraph" w:styleId="3">
    <w:name w:val="heading 2"/>
    <w:next w:val="1"/>
    <w:unhideWhenUsed/>
    <w:qFormat/>
    <w:uiPriority w:val="99"/>
    <w:pPr>
      <w:widowControl w:val="0"/>
      <w:autoSpaceDE w:val="0"/>
      <w:autoSpaceDN w:val="0"/>
      <w:adjustRightInd w:val="0"/>
      <w:spacing w:beforeLines="0" w:afterLines="0"/>
      <w:outlineLvl w:val="1"/>
    </w:pPr>
    <w:rPr>
      <w:rFonts w:hint="default" w:ascii="MingLiU" w:hAnsi="MingLiU" w:eastAsia="MingLiU" w:cs="Times New Roman"/>
      <w:b/>
      <w:i/>
      <w:color w:val="000000"/>
      <w:sz w:val="28"/>
      <w:szCs w:val="24"/>
    </w:rPr>
  </w:style>
  <w:style w:type="paragraph" w:styleId="4">
    <w:name w:val="heading 3"/>
    <w:next w:val="1"/>
    <w:unhideWhenUsed/>
    <w:qFormat/>
    <w:uiPriority w:val="99"/>
    <w:pPr>
      <w:widowControl w:val="0"/>
      <w:autoSpaceDE w:val="0"/>
      <w:autoSpaceDN w:val="0"/>
      <w:adjustRightInd w:val="0"/>
      <w:spacing w:beforeLines="0" w:afterLines="0"/>
      <w:outlineLvl w:val="2"/>
    </w:pPr>
    <w:rPr>
      <w:rFonts w:hint="default" w:ascii="MingLiU" w:hAnsi="MingLiU" w:eastAsia="MingLiU" w:cs="Times New Roman"/>
      <w:b/>
      <w:color w:val="000000"/>
      <w:sz w:val="26"/>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Hyperlink"/>
    <w:basedOn w:val="9"/>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2021-04-12T10:58:00Z</dcterms:created>
  <dc:creator>农夫 Wang.J</dc:creator>
  <cp:lastModifiedBy>农夫 Wang.J</cp:lastModifiedBy>
  <dcterms:modified xsi:type="dcterms:W3CDTF">2023-01-26T17:58:31Z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6A79307D2F05E5F24AD9AF6313FFBAC8</vt:lpwstr>
  </property>
  <property fmtid="{D5CDD505-2E9C-101B-9397-08002B2CF9AE}" pid="4" name="KSOSaveFontToCloudKey">
    <vt:lpwstr>387948871_cloud</vt:lpwstr>
  </property>
</Properties>
</file>