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ascii="宋体" w:hAnsi="宋体" w:eastAsia="宋体" w:cs="宋体"/>
          <w:szCs w:val="21"/>
        </w:rPr>
      </w:pPr>
    </w:p>
    <w:p>
      <w:pPr>
        <w:pStyle w:val="2"/>
        <w:ind w:firstLine="883" w:firstLineChars="200"/>
        <w:jc w:val="center"/>
      </w:pPr>
      <w:bookmarkStart w:id="0" w:name="_Toc9418"/>
      <w:bookmarkStart w:id="1" w:name="_Toc10626"/>
      <w:r>
        <w:rPr>
          <w:rFonts w:hint="eastAsia"/>
        </w:rPr>
        <w:t>概率统计与程序设计课程融合案例研究</w:t>
      </w:r>
      <w:bookmarkEnd w:id="0"/>
      <w:bookmarkEnd w:id="1"/>
    </w:p>
    <w:p>
      <w:pPr>
        <w:pStyle w:val="2"/>
        <w:ind w:firstLine="883" w:firstLineChars="200"/>
        <w:jc w:val="right"/>
      </w:pPr>
      <w:r>
        <w:rPr>
          <w:rFonts w:hint="eastAsia"/>
        </w:rPr>
        <w:t>——以贝叶斯公式为例</w:t>
      </w:r>
    </w:p>
    <w:p>
      <w:pPr>
        <w:pStyle w:val="22"/>
        <w:spacing w:line="400" w:lineRule="exact"/>
        <w:rPr>
          <w:rFonts w:hint="eastAsia" w:ascii="Times New Roman" w:hAnsi="Times New Roman" w:eastAsia="仿宋"/>
          <w:lang w:eastAsia="zh-CN"/>
        </w:rPr>
      </w:pPr>
      <w:bookmarkStart w:id="2" w:name="_Toc11977"/>
      <w:bookmarkStart w:id="3" w:name="_Toc28828"/>
      <w:r>
        <w:rPr>
          <w:rFonts w:hint="eastAsia"/>
        </w:rPr>
        <w:t>姚瑞莹</w:t>
      </w:r>
      <w:r>
        <w:rPr>
          <w:vertAlign w:val="superscript"/>
        </w:rPr>
        <w:t>1</w:t>
      </w:r>
      <w:r>
        <w:rPr>
          <w:rFonts w:hint="eastAsia"/>
        </w:rPr>
        <w:t>，田苗</w:t>
      </w:r>
      <w:r>
        <w:rPr>
          <w:vertAlign w:val="superscript"/>
        </w:rPr>
        <w:t>2*</w:t>
      </w:r>
      <w:r>
        <w:rPr>
          <w:rFonts w:hint="eastAsia"/>
        </w:rPr>
        <w:t>，王福顺</w:t>
      </w:r>
      <w:r>
        <w:rPr>
          <w:vertAlign w:val="superscript"/>
        </w:rPr>
        <w:t>1</w:t>
      </w:r>
      <w:r>
        <w:rPr>
          <w:rFonts w:hint="eastAsia"/>
        </w:rPr>
        <w:t>，</w:t>
      </w:r>
      <w:r>
        <w:rPr>
          <w:rFonts w:hint="eastAsia"/>
          <w:lang w:val="en-US" w:eastAsia="zh-CN"/>
        </w:rPr>
        <w:t>王丽娟</w:t>
      </w:r>
      <w:r>
        <w:rPr>
          <w:vertAlign w:val="superscript"/>
        </w:rPr>
        <w:t>2</w:t>
      </w:r>
      <w:r>
        <w:rPr>
          <w:rFonts w:hint="eastAsia"/>
        </w:rPr>
        <w:t>，</w:t>
      </w:r>
      <w:r>
        <w:rPr>
          <w:rFonts w:hint="eastAsia"/>
          <w:lang w:val="en-US" w:eastAsia="zh-CN"/>
        </w:rPr>
        <w:t>周钰航</w:t>
      </w:r>
      <w:r>
        <w:rPr>
          <w:vertAlign w:val="superscript"/>
        </w:rPr>
        <w:t>1</w:t>
      </w:r>
      <w:r>
        <w:rPr>
          <w:rFonts w:hint="eastAsia"/>
        </w:rPr>
        <w:t>，</w:t>
      </w:r>
      <w:r>
        <w:rPr>
          <w:rFonts w:hint="eastAsia"/>
          <w:lang w:val="en-US" w:eastAsia="zh-CN"/>
        </w:rPr>
        <w:t>任玲玉</w:t>
      </w:r>
      <w:r>
        <w:rPr>
          <w:vertAlign w:val="superscript"/>
        </w:rPr>
        <w:t>1</w:t>
      </w:r>
    </w:p>
    <w:bookmarkEnd w:id="2"/>
    <w:bookmarkEnd w:id="3"/>
    <w:p>
      <w:pPr>
        <w:pStyle w:val="24"/>
      </w:pPr>
      <w:r>
        <w:t xml:space="preserve">(1. </w:t>
      </w:r>
      <w:r>
        <w:rPr>
          <w:rFonts w:hint="eastAsia"/>
        </w:rPr>
        <w:t>河北农业大学</w:t>
      </w:r>
      <w:r>
        <w:t xml:space="preserve"> </w:t>
      </w:r>
      <w:r>
        <w:rPr>
          <w:rFonts w:hint="eastAsia"/>
        </w:rPr>
        <w:t>信息科学与技术学院，河北</w:t>
      </w:r>
      <w:r>
        <w:t xml:space="preserve"> </w:t>
      </w:r>
      <w:r>
        <w:rPr>
          <w:rFonts w:hint="eastAsia"/>
        </w:rPr>
        <w:t>保定</w:t>
      </w:r>
      <w:r>
        <w:t xml:space="preserve"> 071000</w:t>
      </w:r>
      <w:r>
        <w:rPr>
          <w:rFonts w:hint="eastAsia"/>
        </w:rPr>
        <w:t>；</w:t>
      </w:r>
    </w:p>
    <w:p>
      <w:pPr>
        <w:pStyle w:val="24"/>
      </w:pPr>
      <w:r>
        <w:t xml:space="preserve">2. </w:t>
      </w:r>
      <w:r>
        <w:rPr>
          <w:rFonts w:hint="eastAsia"/>
        </w:rPr>
        <w:t>河北农业大学</w:t>
      </w:r>
      <w:r>
        <w:t xml:space="preserve"> </w:t>
      </w:r>
      <w:r>
        <w:rPr>
          <w:rFonts w:hint="eastAsia"/>
        </w:rPr>
        <w:t>理学院，河北</w:t>
      </w:r>
      <w:r>
        <w:t xml:space="preserve"> </w:t>
      </w:r>
      <w:r>
        <w:rPr>
          <w:rFonts w:hint="eastAsia"/>
        </w:rPr>
        <w:t>保定</w:t>
      </w:r>
      <w:r>
        <w:t xml:space="preserve"> 071000)</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rPr>
        <w:t xml:space="preserve">【作者信息】姚瑞莹 河北农业大学 河北保定 071000 2003年3月 女 汉族 河北省邢台市平乡县 </w:t>
      </w:r>
      <w:r>
        <w:rPr>
          <w:rFonts w:hint="eastAsia" w:ascii="宋体" w:hAnsi="宋体" w:eastAsia="宋体" w:cs="宋体"/>
          <w:szCs w:val="21"/>
          <w:lang w:val="en-US" w:eastAsia="zh-CN"/>
        </w:rPr>
        <w:t>大学</w:t>
      </w:r>
    </w:p>
    <w:p>
      <w:pPr>
        <w:ind w:firstLine="420" w:firstLineChars="200"/>
        <w:rPr>
          <w:rFonts w:ascii="宋体" w:hAnsi="宋体" w:eastAsia="宋体" w:cs="宋体"/>
          <w:szCs w:val="21"/>
        </w:rPr>
      </w:pPr>
      <w:bookmarkStart w:id="4" w:name="_Toc3081"/>
      <w:r>
        <w:rPr>
          <w:rFonts w:hint="eastAsia" w:ascii="宋体" w:hAnsi="宋体" w:eastAsia="宋体" w:cs="宋体"/>
          <w:szCs w:val="21"/>
        </w:rPr>
        <w:t>【基金项目】</w:t>
      </w:r>
      <w:bookmarkEnd w:id="4"/>
    </w:p>
    <w:p>
      <w:pPr>
        <w:ind w:firstLine="420" w:firstLineChars="200"/>
        <w:rPr>
          <w:rFonts w:ascii="宋体" w:hAnsi="宋体" w:eastAsia="宋体" w:cs="宋体"/>
          <w:szCs w:val="21"/>
        </w:rPr>
      </w:pPr>
      <w:r>
        <w:rPr>
          <w:rFonts w:hint="eastAsia" w:ascii="宋体" w:hAnsi="宋体" w:eastAsia="宋体" w:cs="宋体"/>
          <w:szCs w:val="21"/>
        </w:rPr>
        <w:t>河北省高等教育教学改革研究与实践项目2020GJJG070</w:t>
      </w:r>
    </w:p>
    <w:p>
      <w:pPr>
        <w:ind w:firstLine="361" w:firstLineChars="200"/>
        <w:rPr>
          <w:rFonts w:ascii="宋体" w:hAnsi="宋体" w:eastAsia="宋体" w:cs="宋体"/>
          <w:szCs w:val="21"/>
        </w:rPr>
      </w:pPr>
      <w:r>
        <w:rPr>
          <w:rStyle w:val="25"/>
          <w:rFonts w:ascii="宋体" w:hAnsi="宋体" w:eastAsia="黑体"/>
          <w:b/>
          <w:bCs w:val="0"/>
          <w:color w:val="000000" w:themeColor="text1"/>
          <w14:textFill>
            <w14:solidFill>
              <w14:schemeClr w14:val="tx1"/>
            </w14:solidFill>
          </w14:textFill>
        </w:rPr>
        <w:t>摘  要：</w:t>
      </w:r>
      <w:r>
        <w:rPr>
          <w:rFonts w:hint="eastAsia" w:ascii="宋体" w:hAnsi="宋体" w:eastAsia="宋体" w:cs="宋体"/>
          <w:szCs w:val="21"/>
        </w:rPr>
        <w:t>《概率论与数理统计》是数学类公共基础课，培养学生应用概率统计思想发现问题解决问题的能力，其知识体系中有很多抽象的概念定理结论，难以理解。以贝叶斯公式讲解为例，通过“概率统计+程序设计”融合教学模式实现多课程融合共促，应用程序设计实现概率统计问题具体化，可视化，运用交互技术解释概率统计问题，操作简单，清晰直观，培养学生动手能力，调动其自主学习的积极性，深化学生对理论知识的理解。</w:t>
      </w:r>
    </w:p>
    <w:p>
      <w:pPr>
        <w:ind w:firstLine="420" w:firstLineChars="200"/>
        <w:rPr>
          <w:rFonts w:ascii="宋体" w:hAnsi="宋体" w:eastAsia="宋体" w:cs="宋体"/>
          <w:szCs w:val="21"/>
        </w:rPr>
      </w:pPr>
      <w:r>
        <w:rPr>
          <w:rFonts w:hint="eastAsia" w:ascii="宋体" w:hAnsi="宋体" w:eastAsia="宋体" w:cs="宋体"/>
          <w:szCs w:val="21"/>
        </w:rPr>
        <w:t>关键词：贝叶斯公式；程序设计；课程融合</w:t>
      </w:r>
    </w:p>
    <w:p>
      <w:pPr>
        <w:pStyle w:val="2"/>
        <w:spacing w:after="340" w:line="288" w:lineRule="auto"/>
        <w:ind w:firstLine="562" w:firstLineChars="200"/>
        <w:jc w:val="center"/>
        <w:rPr>
          <w:rFonts w:ascii="Times New Roman" w:hAnsi="Times New Roman" w:eastAsia="黑体" w:cs="Times New Roman"/>
          <w:sz w:val="28"/>
          <w:szCs w:val="20"/>
        </w:rPr>
      </w:pPr>
      <w:bookmarkStart w:id="5" w:name="_Toc19996"/>
      <w:r>
        <w:rPr>
          <w:rFonts w:hint="eastAsia" w:ascii="Times New Roman" w:hAnsi="Times New Roman" w:eastAsia="黑体" w:cs="Times New Roman"/>
          <w:sz w:val="28"/>
          <w:szCs w:val="20"/>
        </w:rPr>
        <w:t>Abstract</w:t>
      </w:r>
      <w:bookmarkEnd w:id="5"/>
    </w:p>
    <w:p>
      <w:pPr>
        <w:ind w:firstLine="420" w:firstLineChars="200"/>
        <w:rPr>
          <w:rFonts w:ascii="宋体" w:hAnsi="宋体" w:eastAsia="宋体" w:cs="宋体"/>
          <w:szCs w:val="21"/>
        </w:rPr>
      </w:pPr>
      <w:r>
        <w:rPr>
          <w:rFonts w:hint="eastAsia" w:ascii="宋体" w:hAnsi="宋体" w:eastAsia="宋体" w:cs="宋体"/>
          <w:szCs w:val="21"/>
        </w:rPr>
        <w:t>Probability theory and mathematical statistics is a public basic course of mathematics, which trains students' ability to find and solve problems by applying probability and statistics. There are many abstract concepts, theorems and conclusions in its knowledge system, which is difficult to understand. Taking the explanation of Bayes formula as an example, through the "probability statistics + program design" integrated teaching mode, the integration of multiple courses is promoted. The application program design realizes the concretization and visualization of the probability statistics problems. The interactive technology is used to explain the probability statistics problems. The operation is simple and clear. It can cultivate the students' practical ability, mobilize their enthusiasm for independent learning, and deepen the students' understanding of theoretical knowledge.</w:t>
      </w:r>
    </w:p>
    <w:p>
      <w:pPr>
        <w:ind w:firstLine="420" w:firstLineChars="200"/>
        <w:rPr>
          <w:rFonts w:hint="eastAsia" w:ascii="宋体" w:hAnsi="宋体" w:eastAsia="宋体" w:cs="宋体"/>
          <w:szCs w:val="21"/>
          <w:lang w:val="en-US" w:eastAsia="zh-CN"/>
        </w:rPr>
        <w:sectPr>
          <w:pgSz w:w="11906" w:h="16838"/>
          <w:pgMar w:top="1417" w:right="1134" w:bottom="1134" w:left="1417" w:header="851" w:footer="992" w:gutter="0"/>
          <w:pgNumType w:start="1"/>
          <w:cols w:space="425" w:num="1"/>
          <w:docGrid w:type="lines" w:linePitch="312" w:charSpace="0"/>
        </w:sectPr>
      </w:pPr>
      <w:r>
        <w:fldChar w:fldCharType="begin"/>
      </w:r>
      <w:r>
        <w:instrText xml:space="preserve"> HYPERLINK "https://fanyi.baidu.com/translate" \l "##" </w:instrText>
      </w:r>
      <w:r>
        <w:fldChar w:fldCharType="separate"/>
      </w:r>
      <w:r>
        <w:fldChar w:fldCharType="end"/>
      </w:r>
      <w:r>
        <w:rPr>
          <w:rFonts w:hint="eastAsia" w:ascii="宋体" w:hAnsi="宋体" w:eastAsia="宋体" w:cs="宋体"/>
          <w:szCs w:val="21"/>
        </w:rPr>
        <w:t>Keywords: Bayesian formula; Program design; Curriculum integratio</w:t>
      </w:r>
      <w:r>
        <w:rPr>
          <w:rFonts w:hint="eastAsia" w:ascii="宋体" w:hAnsi="宋体" w:eastAsia="宋体" w:cs="宋体"/>
          <w:szCs w:val="21"/>
          <w:lang w:val="en-US" w:eastAsia="zh-CN"/>
        </w:rPr>
        <w:t>n</w:t>
      </w:r>
    </w:p>
    <w:p>
      <w:pPr>
        <w:rPr>
          <w:rFonts w:ascii="宋体" w:hAnsi="宋体" w:eastAsia="宋体" w:cs="宋体"/>
          <w:szCs w:val="21"/>
        </w:rPr>
      </w:pPr>
      <w:bookmarkStart w:id="6" w:name="_Toc12614"/>
    </w:p>
    <w:p>
      <w:pPr>
        <w:pStyle w:val="2"/>
        <w:spacing w:after="340" w:line="288" w:lineRule="auto"/>
        <w:ind w:firstLine="562" w:firstLineChars="200"/>
        <w:jc w:val="center"/>
        <w:rPr>
          <w:rFonts w:ascii="Times New Roman" w:hAnsi="Times New Roman" w:eastAsia="黑体" w:cs="Times New Roman"/>
          <w:sz w:val="28"/>
          <w:szCs w:val="20"/>
        </w:rPr>
      </w:pPr>
      <w:bookmarkStart w:id="7" w:name="_Toc4380"/>
      <w:r>
        <w:rPr>
          <w:rFonts w:hint="eastAsia" w:ascii="Times New Roman" w:hAnsi="Times New Roman" w:eastAsia="黑体" w:cs="Times New Roman"/>
          <w:sz w:val="28"/>
          <w:szCs w:val="20"/>
        </w:rPr>
        <w:t xml:space="preserve">1  </w:t>
      </w:r>
      <w:bookmarkEnd w:id="6"/>
      <w:r>
        <w:rPr>
          <w:rFonts w:hint="eastAsia" w:ascii="Times New Roman" w:hAnsi="Times New Roman" w:eastAsia="黑体" w:cs="Times New Roman"/>
          <w:sz w:val="28"/>
          <w:szCs w:val="20"/>
        </w:rPr>
        <w:t>引言</w:t>
      </w:r>
      <w:bookmarkEnd w:id="7"/>
    </w:p>
    <w:p>
      <w:pPr>
        <w:ind w:firstLine="420" w:firstLineChars="200"/>
        <w:rPr>
          <w:rFonts w:ascii="宋体" w:hAnsi="宋体" w:eastAsia="宋体" w:cs="宋体"/>
          <w:szCs w:val="21"/>
        </w:rPr>
      </w:pPr>
      <w:r>
        <w:rPr>
          <w:rFonts w:hint="eastAsia" w:ascii="宋体" w:hAnsi="宋体" w:eastAsia="宋体" w:cs="宋体"/>
          <w:szCs w:val="21"/>
        </w:rPr>
        <w:t>概率论与数理统计是一门应用性很强的数学理论基础课程，传统的课堂教学忽略了实际问题的研究。复杂的问题不够直观，抽象的问题不够具体，程序设计与概率统计结合就可以解决一系列复杂抽象的问题，用程序设计将问题直观化可视化。</w:t>
      </w:r>
    </w:p>
    <w:p>
      <w:pPr>
        <w:ind w:firstLine="420" w:firstLineChars="200"/>
        <w:rPr>
          <w:rFonts w:ascii="宋体" w:hAnsi="宋体" w:eastAsia="宋体" w:cs="宋体"/>
          <w:szCs w:val="21"/>
        </w:rPr>
      </w:pPr>
      <w:r>
        <w:rPr>
          <w:rFonts w:hint="eastAsia" w:ascii="宋体" w:hAnsi="宋体" w:eastAsia="宋体" w:cs="宋体"/>
          <w:szCs w:val="21"/>
        </w:rPr>
        <w:t>以</w:t>
      </w:r>
      <w:r>
        <w:rPr>
          <w:rFonts w:hint="eastAsia" w:ascii="宋体" w:hAnsi="宋体" w:eastAsia="宋体" w:cs="宋体"/>
          <w:szCs w:val="21"/>
          <w:lang w:val="en-US" w:eastAsia="zh-CN"/>
        </w:rPr>
        <w:t>程序设计</w:t>
      </w:r>
      <w:r>
        <w:rPr>
          <w:rFonts w:hint="eastAsia" w:ascii="宋体" w:hAnsi="宋体" w:eastAsia="宋体" w:cs="宋体"/>
          <w:szCs w:val="21"/>
        </w:rPr>
        <w:t>为工具解决概率论问题，求得概率论的解决方案；通过分析、解释以及实验，解决实际问题。把信息技术融入数学基础课的课程建设中，让学生学习概率知识能够“看得见摸得着”。在融合的过程中，实现“专业”课赋能“基础”课教学，“基础”知识反哺“专业”能力提升，从而达到互促互利的良性生态。</w:t>
      </w:r>
    </w:p>
    <w:p>
      <w:pPr>
        <w:pStyle w:val="2"/>
        <w:spacing w:after="340" w:line="288" w:lineRule="auto"/>
        <w:ind w:firstLine="562" w:firstLineChars="200"/>
        <w:jc w:val="center"/>
        <w:rPr>
          <w:rFonts w:ascii="Times New Roman" w:hAnsi="Times New Roman" w:eastAsia="黑体" w:cs="Times New Roman"/>
          <w:sz w:val="28"/>
          <w:szCs w:val="20"/>
        </w:rPr>
      </w:pPr>
      <w:bookmarkStart w:id="8" w:name="_Toc15620"/>
      <w:bookmarkStart w:id="9" w:name="_Toc8594"/>
      <w:r>
        <w:rPr>
          <w:rFonts w:hint="eastAsia" w:ascii="Times New Roman" w:hAnsi="Times New Roman" w:eastAsia="黑体" w:cs="Times New Roman"/>
          <w:sz w:val="28"/>
          <w:szCs w:val="20"/>
        </w:rPr>
        <w:t xml:space="preserve">2  </w:t>
      </w:r>
      <w:bookmarkEnd w:id="8"/>
      <w:r>
        <w:rPr>
          <w:rFonts w:hint="eastAsia" w:ascii="Times New Roman" w:hAnsi="Times New Roman" w:eastAsia="黑体" w:cs="Times New Roman"/>
          <w:sz w:val="28"/>
          <w:szCs w:val="20"/>
        </w:rPr>
        <w:t>提出问题</w:t>
      </w:r>
      <w:bookmarkEnd w:id="9"/>
    </w:p>
    <w:p>
      <w:pPr>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贝叶斯公式是概率论部分一个重要的公式，它有很广泛的应用，经常用于医学诊断，可以通过程序设计的方法将医学诊断的过程与结果直观化，可视化。</w:t>
      </w:r>
    </w:p>
    <w:p>
      <w:pPr>
        <w:pStyle w:val="2"/>
        <w:spacing w:after="340" w:line="288" w:lineRule="auto"/>
        <w:ind w:firstLine="562" w:firstLineChars="200"/>
        <w:jc w:val="center"/>
        <w:rPr>
          <w:rFonts w:ascii="Times New Roman" w:hAnsi="Times New Roman" w:eastAsia="黑体" w:cs="Times New Roman"/>
          <w:sz w:val="28"/>
          <w:szCs w:val="20"/>
        </w:rPr>
      </w:pPr>
      <w:bookmarkStart w:id="10" w:name="_Toc27973"/>
      <w:r>
        <w:rPr>
          <w:rFonts w:hint="eastAsia" w:ascii="Times New Roman" w:hAnsi="Times New Roman" w:eastAsia="黑体" w:cs="Times New Roman"/>
          <w:sz w:val="28"/>
          <w:szCs w:val="20"/>
        </w:rPr>
        <w:t>3  解决问题</w:t>
      </w:r>
      <w:bookmarkEnd w:id="10"/>
    </w:p>
    <w:p>
      <w:pPr>
        <w:ind w:firstLine="482" w:firstLineChars="200"/>
        <w:rPr>
          <w:rFonts w:ascii="宋体" w:hAnsi="宋体" w:eastAsia="宋体" w:cs="宋体"/>
          <w:szCs w:val="21"/>
        </w:rPr>
      </w:pPr>
      <w:bookmarkStart w:id="11" w:name="_Toc13980"/>
      <w:r>
        <w:rPr>
          <w:rFonts w:hint="eastAsia" w:ascii="Arial" w:hAnsi="Arial" w:eastAsia="黑体" w:cs="Times New Roman"/>
          <w:b/>
          <w:sz w:val="24"/>
          <w:szCs w:val="20"/>
        </w:rPr>
        <w:t>3.1贝叶斯公式</w:t>
      </w:r>
      <w:bookmarkEnd w:id="11"/>
    </w:p>
    <w:p>
      <w:pPr>
        <w:ind w:firstLine="422" w:firstLineChars="200"/>
        <w:rPr>
          <w:rFonts w:ascii="宋体" w:hAnsi="宋体" w:eastAsia="宋体" w:cs="宋体"/>
          <w:szCs w:val="21"/>
        </w:rPr>
      </w:pPr>
      <w:r>
        <w:rPr>
          <w:rFonts w:hint="eastAsia" w:ascii="宋体" w:hAnsi="宋体" w:eastAsia="宋体" w:cs="宋体"/>
          <w:b/>
          <w:bCs/>
          <w:szCs w:val="21"/>
        </w:rPr>
        <w:t xml:space="preserve">定理 </w:t>
      </w:r>
      <w:r>
        <w:rPr>
          <w:rFonts w:hint="eastAsia" w:ascii="宋体" w:hAnsi="宋体" w:eastAsia="宋体" w:cs="宋体"/>
          <w:szCs w:val="21"/>
        </w:rPr>
        <w:t>设Ω为一个随机试验的样本空间，</w:t>
      </w:r>
      <m:oMath>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1</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2</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n</m:t>
            </m:r>
            <m:ctrlPr>
              <w:rPr>
                <w:rFonts w:hint="eastAsia" w:ascii="Cambria Math" w:hAnsi="Cambria Math" w:eastAsia="宋体" w:cs="宋体"/>
                <w:szCs w:val="21"/>
              </w:rPr>
            </m:ctrlPr>
          </m:sub>
        </m:sSub>
      </m:oMath>
      <w:r>
        <w:rPr>
          <w:rFonts w:hint="eastAsia" w:ascii="宋体" w:hAnsi="宋体" w:eastAsia="宋体" w:cs="宋体"/>
          <w:szCs w:val="21"/>
        </w:rPr>
        <w:t>为Ω的一个有限划分，则对任何事件B</w:t>
      </w:r>
    </w:p>
    <w:p>
      <w:pPr>
        <w:ind w:firstLine="420" w:firstLineChars="200"/>
        <w:rPr>
          <w:rFonts w:ascii="宋体" w:hAnsi="宋体" w:eastAsia="宋体" w:cs="宋体"/>
          <w:szCs w:val="21"/>
        </w:rPr>
      </w:pPr>
      <m:oMathPara>
        <m:oMath>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j</m:t>
              </m:r>
              <m:ctrlPr>
                <w:rPr>
                  <w:rFonts w:hint="eastAsia" w:ascii="Cambria Math" w:hAnsi="Cambria Math" w:eastAsia="宋体" w:cs="宋体"/>
                  <w:szCs w:val="21"/>
                </w:rPr>
              </m:ctrlPr>
            </m:sub>
          </m:sSub>
          <m:r>
            <m:rPr>
              <m:sty m:val="p"/>
            </m:rPr>
            <w:rPr>
              <w:rFonts w:hint="eastAsia" w:ascii="Cambria Math" w:hAnsi="Cambria Math" w:eastAsia="宋体" w:cs="宋体"/>
              <w:szCs w:val="21"/>
            </w:rPr>
            <m:t>|B)=</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j</m:t>
                  </m:r>
                  <m:ctrlPr>
                    <w:rPr>
                      <w:rFonts w:hint="eastAsia" w:ascii="Cambria Math" w:hAnsi="Cambria Math" w:eastAsia="宋体" w:cs="宋体"/>
                      <w:szCs w:val="21"/>
                    </w:rPr>
                  </m:ctrlPr>
                </m:sub>
              </m:sSub>
              <m:r>
                <m:rPr>
                  <m:sty m:val="p"/>
                </m:rPr>
                <w:rPr>
                  <w:rFonts w:hint="eastAsia" w:ascii="Cambria Math" w:hAnsi="Cambria Math" w:eastAsia="宋体" w:cs="宋体"/>
                  <w:szCs w:val="21"/>
                </w:rPr>
                <m:t>)P(B|</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j</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ctrlPr>
                <w:rPr>
                  <w:rFonts w:hint="eastAsia" w:ascii="Cambria Math" w:hAnsi="Cambria Math" w:eastAsia="宋体" w:cs="宋体"/>
                  <w:szCs w:val="21"/>
                </w:rPr>
              </m:ctrlPr>
            </m:num>
            <m:den>
              <m:nary>
                <m:naryPr>
                  <m:chr m:val="∑"/>
                  <m:limLoc m:val="subSup"/>
                  <m:ctrlPr>
                    <w:rPr>
                      <w:rFonts w:hint="eastAsia" w:ascii="Cambria Math" w:hAnsi="Cambria Math" w:eastAsia="宋体" w:cs="宋体"/>
                      <w:szCs w:val="21"/>
                    </w:rPr>
                  </m:ctrlPr>
                </m:naryPr>
                <m:sub>
                  <m:r>
                    <m:rPr>
                      <m:sty m:val="p"/>
                    </m:rPr>
                    <w:rPr>
                      <w:rFonts w:hint="eastAsia" w:ascii="Cambria Math" w:hAnsi="Cambria Math" w:eastAsia="宋体" w:cs="宋体"/>
                      <w:szCs w:val="21"/>
                    </w:rPr>
                    <m:t>i=1</m:t>
                  </m:r>
                  <m:ctrlPr>
                    <w:rPr>
                      <w:rFonts w:hint="eastAsia" w:ascii="Cambria Math" w:hAnsi="Cambria Math" w:eastAsia="宋体" w:cs="宋体"/>
                      <w:szCs w:val="21"/>
                    </w:rPr>
                  </m:ctrlPr>
                </m:sub>
                <m:sup>
                  <m:r>
                    <m:rPr>
                      <m:sty m:val="p"/>
                    </m:rPr>
                    <w:rPr>
                      <w:rFonts w:hint="eastAsia" w:ascii="Cambria Math" w:hAnsi="Cambria Math" w:eastAsia="宋体" w:cs="宋体"/>
                      <w:szCs w:val="21"/>
                    </w:rPr>
                    <m:t>n</m:t>
                  </m:r>
                  <m:ctrlPr>
                    <w:rPr>
                      <w:rFonts w:hint="eastAsia" w:ascii="Cambria Math" w:hAnsi="Cambria Math" w:eastAsia="宋体" w:cs="宋体"/>
                      <w:szCs w:val="21"/>
                    </w:rPr>
                  </m:ctrlPr>
                </m:sup>
                <m:e>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)P(B|</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ctrlPr>
                    <w:rPr>
                      <w:rFonts w:hint="eastAsia" w:ascii="Cambria Math" w:hAnsi="Cambria Math" w:eastAsia="宋体" w:cs="宋体"/>
                      <w:szCs w:val="21"/>
                    </w:rPr>
                  </m:ctrlPr>
                </m:e>
              </m:nary>
              <m:ctrlPr>
                <w:rPr>
                  <w:rFonts w:hint="eastAsia" w:ascii="Cambria Math" w:hAnsi="Cambria Math" w:eastAsia="宋体" w:cs="宋体"/>
                  <w:szCs w:val="21"/>
                </w:rPr>
              </m:ctrlPr>
            </m:den>
          </m:f>
          <m:r>
            <m:rPr>
              <m:sty m:val="p"/>
            </m:rPr>
            <w:rPr>
              <w:rFonts w:hint="eastAsia" w:ascii="Cambria Math" w:hAnsi="Cambria Math" w:eastAsia="宋体" w:cs="宋体"/>
              <w:szCs w:val="21"/>
            </w:rPr>
            <m:t>,j=1,2,...,n.</m:t>
          </m:r>
        </m:oMath>
      </m:oMathPara>
    </w:p>
    <w:p>
      <w:pPr>
        <w:ind w:firstLine="420" w:firstLineChars="200"/>
        <w:rPr>
          <w:rFonts w:ascii="宋体" w:hAnsi="宋体" w:eastAsia="宋体" w:cs="宋体"/>
          <w:szCs w:val="21"/>
        </w:rPr>
      </w:pPr>
      <w:r>
        <w:rPr>
          <w:rFonts w:hint="eastAsia" w:ascii="宋体" w:hAnsi="宋体" w:eastAsia="宋体" w:cs="宋体"/>
          <w:szCs w:val="21"/>
        </w:rPr>
        <w:t>该公式称为贝叶斯公式.</w:t>
      </w:r>
    </w:p>
    <w:p>
      <w:pPr>
        <w:ind w:firstLine="420" w:firstLineChars="200"/>
        <w:rPr>
          <w:rFonts w:ascii="宋体" w:hAnsi="宋体" w:eastAsia="宋体" w:cs="宋体"/>
          <w:szCs w:val="21"/>
        </w:rPr>
      </w:pPr>
      <w:r>
        <w:rPr>
          <w:rFonts w:hint="eastAsia" w:ascii="宋体" w:hAnsi="宋体" w:eastAsia="宋体" w:cs="宋体"/>
          <w:szCs w:val="21"/>
        </w:rPr>
        <w:t>在实际问题中，常将完备事件组</w:t>
      </w:r>
      <m:oMath>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1</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2</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n</m:t>
            </m:r>
            <m:ctrlPr>
              <w:rPr>
                <w:rFonts w:hint="eastAsia" w:ascii="Cambria Math" w:hAnsi="Cambria Math" w:eastAsia="宋体" w:cs="宋体"/>
                <w:szCs w:val="21"/>
              </w:rPr>
            </m:ctrlPr>
          </m:sub>
        </m:sSub>
      </m:oMath>
      <w:r>
        <w:rPr>
          <w:rFonts w:hint="eastAsia" w:ascii="宋体" w:hAnsi="宋体" w:eastAsia="宋体" w:cs="宋体"/>
          <w:szCs w:val="21"/>
        </w:rPr>
        <w:t>看做是导致</w:t>
      </w:r>
      <w:r>
        <w:rPr>
          <w:rFonts w:hint="eastAsia" w:ascii="宋体" w:hAnsi="宋体" w:eastAsia="宋体" w:cs="宋体"/>
          <w:szCs w:val="21"/>
          <w:lang w:val="en-US" w:eastAsia="zh-CN"/>
        </w:rPr>
        <w:t>试验</w:t>
      </w:r>
      <w:r>
        <w:rPr>
          <w:rFonts w:hint="eastAsia" w:ascii="宋体" w:hAnsi="宋体" w:eastAsia="宋体" w:cs="宋体"/>
          <w:szCs w:val="21"/>
        </w:rPr>
        <w:t>结果B发生的“原因”，</w:t>
      </w:r>
      <m:oMath>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)(i=1,2,...,n)</m:t>
        </m:r>
      </m:oMath>
      <w:r>
        <w:rPr>
          <w:rFonts w:hint="eastAsia" w:ascii="宋体" w:hAnsi="宋体" w:eastAsia="宋体" w:cs="宋体"/>
          <w:szCs w:val="21"/>
        </w:rPr>
        <w:t>表示第i种“原因”发生的可能性大小，称之为先验概率。先验概率一般是以往经验的总结，而条件概率</w:t>
      </w:r>
      <m:oMath>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|B)</m:t>
        </m:r>
      </m:oMath>
      <w:r>
        <w:rPr>
          <w:rFonts w:hint="eastAsia" w:ascii="宋体" w:hAnsi="宋体" w:eastAsia="宋体" w:cs="宋体"/>
          <w:szCs w:val="21"/>
        </w:rPr>
        <w:t>称为后验概率，它反映了事件B发生的情况下，对各种“原因”</w:t>
      </w:r>
      <m:oMath>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1</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2</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n</m:t>
            </m:r>
            <m:ctrlPr>
              <w:rPr>
                <w:rFonts w:hint="eastAsia" w:ascii="Cambria Math" w:hAnsi="Cambria Math" w:eastAsia="宋体" w:cs="宋体"/>
                <w:szCs w:val="21"/>
              </w:rPr>
            </m:ctrlPr>
          </m:sub>
        </m:sSub>
      </m:oMath>
      <w:r>
        <w:rPr>
          <w:rFonts w:hint="eastAsia" w:ascii="宋体" w:hAnsi="宋体" w:eastAsia="宋体" w:cs="宋体"/>
          <w:szCs w:val="21"/>
        </w:rPr>
        <w:t>发生可能性大小的重新认知，也是一种修正。</w:t>
      </w:r>
    </w:p>
    <w:p>
      <w:pPr>
        <w:ind w:firstLine="420" w:firstLineChars="200"/>
        <w:rPr>
          <w:rFonts w:ascii="宋体" w:hAnsi="宋体" w:eastAsia="宋体" w:cs="宋体"/>
          <w:szCs w:val="21"/>
        </w:rPr>
      </w:pPr>
      <w:r>
        <w:rPr>
          <w:rFonts w:hint="eastAsia" w:ascii="宋体" w:hAnsi="宋体" w:eastAsia="宋体" w:cs="宋体"/>
          <w:szCs w:val="21"/>
        </w:rPr>
        <w:t>公式由英国著名数学家贝叶斯提出，有广泛的应用。医学诊断中确诊率的计算就用到贝叶斯公式。</w:t>
      </w:r>
    </w:p>
    <w:p>
      <w:pPr>
        <w:ind w:firstLine="482" w:firstLineChars="200"/>
        <w:rPr>
          <w:rFonts w:ascii="Arial" w:hAnsi="Arial" w:eastAsia="黑体" w:cs="Times New Roman"/>
          <w:b/>
          <w:sz w:val="24"/>
          <w:szCs w:val="20"/>
        </w:rPr>
      </w:pPr>
      <w:bookmarkStart w:id="12" w:name="_Toc10805"/>
      <w:r>
        <w:rPr>
          <w:rFonts w:hint="eastAsia" w:ascii="Arial" w:hAnsi="Arial" w:eastAsia="黑体" w:cs="Times New Roman"/>
          <w:b/>
          <w:sz w:val="24"/>
          <w:szCs w:val="20"/>
        </w:rPr>
        <w:t>3.2确诊率计算</w:t>
      </w:r>
      <w:bookmarkEnd w:id="12"/>
    </w:p>
    <w:p>
      <w:pPr>
        <w:ind w:firstLine="420" w:firstLineChars="200"/>
        <w:rPr>
          <w:rFonts w:ascii="宋体" w:hAnsi="宋体" w:eastAsia="宋体" w:cs="宋体"/>
          <w:szCs w:val="21"/>
        </w:rPr>
      </w:pPr>
      <w:r>
        <w:rPr>
          <w:rFonts w:hint="eastAsia" w:ascii="宋体" w:hAnsi="宋体" w:eastAsia="宋体" w:cs="宋体"/>
          <w:szCs w:val="21"/>
        </w:rPr>
        <w:t>患病人群和健康人群构成整个人群的划分，这是先验概率。任何检测都不可能绝对准确，两类人群中检测都有可能出现阳性。所以，结果呈阳性，可能患病也可能不患病。如果医生想得到明确诊断，其实是衡量在检测结果呈阳性的条件下确实患病的概率，即确诊率有多大。在阳性结果出现后重新认识患病概率恰是贝叶斯公式计算的后验概率。医学上把患病人群中的阳性率称为灵敏度，健康人群的阴性率称为特异性，已知患病率，灵敏度和特异性，代入公式即可求得确诊率。</w:t>
      </w:r>
    </w:p>
    <w:p>
      <w:pPr>
        <w:ind w:firstLine="422" w:firstLineChars="200"/>
        <w:rPr>
          <w:rFonts w:ascii="宋体" w:hAnsi="宋体" w:eastAsia="宋体" w:cs="宋体"/>
          <w:szCs w:val="21"/>
        </w:rPr>
      </w:pPr>
      <w:r>
        <w:rPr>
          <w:rFonts w:hint="eastAsia" w:ascii="宋体" w:hAnsi="宋体" w:eastAsia="宋体" w:cs="宋体"/>
          <w:b/>
          <w:bCs/>
          <w:szCs w:val="21"/>
        </w:rPr>
        <w:t>分析</w:t>
      </w:r>
      <w:r>
        <w:rPr>
          <w:rFonts w:hint="eastAsia" w:ascii="宋体" w:hAnsi="宋体" w:eastAsia="宋体" w:cs="宋体"/>
          <w:szCs w:val="21"/>
        </w:rPr>
        <w:t xml:space="preserve"> 设D表示被检查者患有</w:t>
      </w:r>
      <w:r>
        <w:rPr>
          <w:rFonts w:hint="eastAsia" w:ascii="宋体" w:hAnsi="宋体" w:eastAsia="宋体" w:cs="宋体"/>
          <w:szCs w:val="21"/>
          <w:lang w:val="en-US" w:eastAsia="zh-CN"/>
        </w:rPr>
        <w:t>某疾病</w:t>
      </w:r>
      <w:r>
        <w:rPr>
          <w:rFonts w:hint="eastAsia" w:ascii="宋体" w:hAnsi="宋体" w:eastAsia="宋体" w:cs="宋体"/>
          <w:szCs w:val="21"/>
        </w:rPr>
        <w:t>，H表示被检查者不患</w:t>
      </w:r>
      <w:r>
        <w:rPr>
          <w:rFonts w:hint="eastAsia" w:ascii="宋体" w:hAnsi="宋体" w:eastAsia="宋体" w:cs="宋体"/>
          <w:szCs w:val="21"/>
          <w:lang w:val="en-US" w:eastAsia="zh-CN"/>
        </w:rPr>
        <w:t>某疾病</w:t>
      </w:r>
      <w:r>
        <w:rPr>
          <w:rFonts w:hint="eastAsia" w:ascii="宋体" w:hAnsi="宋体" w:eastAsia="宋体" w:cs="宋体"/>
          <w:szCs w:val="21"/>
        </w:rPr>
        <w:t>，+为检查结果呈阳性，-为检查结果呈阴性。由题意知P(D)表示发病率，由贝叶斯公式可知确诊率为：</w:t>
      </w:r>
    </w:p>
    <w:p>
      <w:pPr>
        <w:ind w:firstLine="420" w:firstLineChars="200"/>
        <w:rPr>
          <w:rFonts w:ascii="宋体" w:hAnsi="宋体" w:eastAsia="宋体" w:cs="宋体"/>
          <w:szCs w:val="21"/>
        </w:rPr>
      </w:pPr>
      <m:oMathPara>
        <m:oMathParaPr>
          <m:jc m:val="center"/>
        </m:oMathParaPr>
        <m:oMath>
          <m:r>
            <m:rPr>
              <m:sty m:val="p"/>
            </m:rPr>
            <w:rPr>
              <w:rFonts w:hint="eastAsia" w:ascii="Cambria Math" w:hAnsi="Cambria Math" w:eastAsia="宋体" w:cs="宋体"/>
              <w:szCs w:val="21"/>
            </w:rPr>
            <m:t>P(D|+)=</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P(D)P(+|D)</m:t>
              </m:r>
              <m:ctrlPr>
                <w:rPr>
                  <w:rFonts w:hint="eastAsia" w:ascii="Cambria Math" w:hAnsi="Cambria Math" w:eastAsia="宋体" w:cs="宋体"/>
                  <w:szCs w:val="21"/>
                </w:rPr>
              </m:ctrlPr>
            </m:num>
            <m:den>
              <m:r>
                <m:rPr>
                  <m:sty m:val="p"/>
                </m:rPr>
                <w:rPr>
                  <w:rFonts w:hint="eastAsia" w:ascii="Cambria Math" w:hAnsi="Cambria Math" w:eastAsia="宋体" w:cs="宋体"/>
                  <w:szCs w:val="21"/>
                </w:rPr>
                <m:t>P(D)P(+|D)+P(</m:t>
              </m:r>
              <m:acc>
                <m:accPr>
                  <m:chr m:val="̅"/>
                  <m:ctrlPr>
                    <w:rPr>
                      <w:rFonts w:hint="eastAsia" w:ascii="Cambria Math" w:hAnsi="Cambria Math" w:eastAsia="宋体" w:cs="宋体"/>
                      <w:szCs w:val="21"/>
                    </w:rPr>
                  </m:ctrlPr>
                </m:accPr>
                <m:e>
                  <m:r>
                    <m:rPr>
                      <m:sty m:val="p"/>
                    </m:rPr>
                    <w:rPr>
                      <w:rFonts w:hint="eastAsia" w:ascii="Cambria Math" w:hAnsi="Cambria Math" w:eastAsia="宋体" w:cs="宋体"/>
                      <w:szCs w:val="21"/>
                    </w:rPr>
                    <m:t>D</m:t>
                  </m:r>
                  <m:ctrlPr>
                    <w:rPr>
                      <w:rFonts w:hint="eastAsia" w:ascii="Cambria Math" w:hAnsi="Cambria Math" w:eastAsia="宋体" w:cs="宋体"/>
                      <w:szCs w:val="21"/>
                    </w:rPr>
                  </m:ctrlPr>
                </m:e>
              </m:acc>
              <m:r>
                <m:rPr>
                  <m:sty m:val="p"/>
                </m:rPr>
                <w:rPr>
                  <w:rFonts w:hint="eastAsia" w:ascii="Cambria Math" w:hAnsi="Cambria Math" w:eastAsia="宋体" w:cs="宋体"/>
                  <w:szCs w:val="21"/>
                </w:rPr>
                <m:t>)P(+|</m:t>
              </m:r>
              <m:acc>
                <m:accPr>
                  <m:chr m:val="̅"/>
                  <m:ctrlPr>
                    <w:rPr>
                      <w:rFonts w:hint="eastAsia" w:ascii="Cambria Math" w:hAnsi="Cambria Math" w:eastAsia="宋体" w:cs="宋体"/>
                      <w:szCs w:val="21"/>
                    </w:rPr>
                  </m:ctrlPr>
                </m:accPr>
                <m:e>
                  <m:r>
                    <m:rPr>
                      <m:sty m:val="p"/>
                    </m:rPr>
                    <w:rPr>
                      <w:rFonts w:hint="eastAsia" w:ascii="Cambria Math" w:hAnsi="Cambria Math" w:eastAsia="宋体" w:cs="宋体"/>
                      <w:szCs w:val="21"/>
                    </w:rPr>
                    <m:t>D</m:t>
                  </m:r>
                  <m:ctrlPr>
                    <w:rPr>
                      <w:rFonts w:hint="eastAsia" w:ascii="Cambria Math" w:hAnsi="Cambria Math" w:eastAsia="宋体" w:cs="宋体"/>
                      <w:szCs w:val="21"/>
                    </w:rPr>
                  </m:ctrlPr>
                </m:e>
              </m:acc>
              <m:r>
                <m:rPr>
                  <m:sty m:val="p"/>
                </m:rPr>
                <w:rPr>
                  <w:rFonts w:hint="eastAsia" w:ascii="Cambria Math" w:hAnsi="Cambria Math" w:eastAsia="宋体" w:cs="宋体"/>
                  <w:szCs w:val="21"/>
                </w:rPr>
                <m:t>)</m:t>
              </m:r>
              <m:ctrlPr>
                <w:rPr>
                  <w:rFonts w:hint="eastAsia" w:ascii="Cambria Math" w:hAnsi="Cambria Math" w:eastAsia="宋体" w:cs="宋体"/>
                  <w:szCs w:val="21"/>
                </w:rPr>
              </m:ctrlPr>
            </m:den>
          </m:f>
        </m:oMath>
      </m:oMathPara>
    </w:p>
    <w:p>
      <w:pPr>
        <w:ind w:firstLine="420" w:firstLineChars="200"/>
        <w:rPr>
          <w:rFonts w:ascii="宋体" w:hAnsi="宋体" w:eastAsia="宋体" w:cs="宋体"/>
          <w:szCs w:val="21"/>
        </w:rPr>
      </w:pPr>
      <w:r>
        <w:rPr>
          <w:rFonts w:hint="eastAsia" w:ascii="宋体" w:hAnsi="宋体" w:eastAsia="宋体" w:cs="宋体"/>
          <w:szCs w:val="21"/>
        </w:rPr>
        <w:t>即：</w:t>
      </w:r>
    </w:p>
    <w:p>
      <w:pPr>
        <w:ind w:firstLine="420" w:firstLineChars="200"/>
        <w:rPr>
          <w:rFonts w:ascii="宋体" w:hAnsi="宋体" w:eastAsia="宋体" w:cs="宋体"/>
          <w:szCs w:val="21"/>
        </w:rPr>
      </w:pPr>
      <m:oMathPara>
        <m:oMathParaPr>
          <m:jc m:val="center"/>
        </m:oMathParaPr>
        <m:oMath>
          <m:r>
            <m:rPr>
              <m:sty m:val="p"/>
            </m:rPr>
            <w:rPr>
              <w:rFonts w:hint="eastAsia" w:ascii="Cambria Math" w:hAnsi="Cambria Math" w:eastAsia="宋体" w:cs="宋体"/>
              <w:szCs w:val="21"/>
            </w:rPr>
            <m:t>P(D|+)=</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P(D)P(+|D)</m:t>
              </m:r>
              <m:ctrlPr>
                <w:rPr>
                  <w:rFonts w:hint="eastAsia" w:ascii="Cambria Math" w:hAnsi="Cambria Math" w:eastAsia="宋体" w:cs="宋体"/>
                  <w:szCs w:val="21"/>
                </w:rPr>
              </m:ctrlPr>
            </m:num>
            <m:den>
              <m:r>
                <m:rPr>
                  <m:sty m:val="p"/>
                </m:rPr>
                <w:rPr>
                  <w:rFonts w:hint="eastAsia" w:ascii="Cambria Math" w:hAnsi="Cambria Math" w:eastAsia="宋体" w:cs="宋体"/>
                  <w:szCs w:val="21"/>
                </w:rPr>
                <m:t>P(D)P(+|D)+P(H)(1−P(−|H))</m:t>
              </m:r>
              <m:ctrlPr>
                <w:rPr>
                  <w:rFonts w:hint="eastAsia" w:ascii="Cambria Math" w:hAnsi="Cambria Math" w:eastAsia="宋体" w:cs="宋体"/>
                  <w:szCs w:val="21"/>
                </w:rPr>
              </m:ctrlPr>
            </m:den>
          </m:f>
        </m:oMath>
      </m:oMathPara>
    </w:p>
    <w:p>
      <w:pPr>
        <w:ind w:firstLine="420" w:firstLineChars="200"/>
        <w:rPr>
          <w:rFonts w:ascii="宋体" w:hAnsi="宋体" w:eastAsia="宋体" w:cs="宋体"/>
          <w:szCs w:val="21"/>
        </w:rPr>
      </w:pPr>
      <w:r>
        <w:rPr>
          <w:rFonts w:hint="eastAsia" w:ascii="宋体" w:hAnsi="宋体" w:eastAsia="宋体" w:cs="宋体"/>
          <w:szCs w:val="21"/>
        </w:rPr>
        <w:t>据统计，</w:t>
      </w:r>
      <w:r>
        <w:rPr>
          <w:rFonts w:hint="eastAsia" w:ascii="宋体" w:hAnsi="宋体" w:eastAsia="宋体" w:cs="宋体"/>
          <w:szCs w:val="21"/>
          <w:lang w:val="en-US" w:eastAsia="zh-CN"/>
        </w:rPr>
        <w:t>某疾病</w:t>
      </w:r>
      <w:r>
        <w:rPr>
          <w:rFonts w:hint="eastAsia" w:ascii="宋体" w:hAnsi="宋体" w:eastAsia="宋体" w:cs="宋体"/>
          <w:szCs w:val="21"/>
        </w:rPr>
        <w:t>发病率约为5%，</w:t>
      </w:r>
      <w:r>
        <w:rPr>
          <w:rFonts w:hint="eastAsia" w:ascii="宋体" w:hAnsi="宋体" w:eastAsia="宋体" w:cs="宋体"/>
          <w:szCs w:val="21"/>
          <w:lang w:val="en-US" w:eastAsia="zh-CN"/>
        </w:rPr>
        <w:t>血液</w:t>
      </w:r>
      <w:r>
        <w:rPr>
          <w:rFonts w:hint="eastAsia" w:ascii="宋体" w:hAnsi="宋体" w:eastAsia="宋体" w:cs="宋体"/>
          <w:szCs w:val="21"/>
        </w:rPr>
        <w:t>检测的敏感性(患病呈阳性的概率)为90%，特异性(健康呈阴性的概率)为97%，求确诊率(呈阳性中患病的概率)。</w:t>
      </w:r>
    </w:p>
    <w:p>
      <w:pPr>
        <w:ind w:firstLine="420" w:firstLineChars="200"/>
        <w:rPr>
          <w:rFonts w:ascii="宋体" w:hAnsi="宋体" w:eastAsia="宋体" w:cs="宋体"/>
          <w:szCs w:val="21"/>
        </w:rPr>
      </w:pPr>
      <w:r>
        <w:rPr>
          <w:rFonts w:hint="eastAsia" w:ascii="宋体" w:hAnsi="宋体" w:eastAsia="宋体" w:cs="宋体"/>
          <w:szCs w:val="21"/>
        </w:rPr>
        <w:t>即P(D)=0.05,P(+|D)=0.9,P(-|H)=0.97</w:t>
      </w:r>
    </w:p>
    <w:p>
      <w:pPr>
        <w:ind w:firstLine="420" w:firstLineChars="200"/>
        <w:rPr>
          <w:rFonts w:ascii="宋体" w:hAnsi="宋体" w:eastAsia="宋体" w:cs="宋体"/>
          <w:szCs w:val="21"/>
        </w:rPr>
      </w:pPr>
      <w:r>
        <w:rPr>
          <w:rFonts w:hint="eastAsia" w:ascii="宋体" w:hAnsi="宋体" w:eastAsia="宋体" w:cs="宋体"/>
          <w:szCs w:val="21"/>
        </w:rPr>
        <w:t>代入公式得</w:t>
      </w:r>
    </w:p>
    <w:p>
      <w:pPr>
        <w:ind w:firstLine="420" w:firstLineChars="200"/>
        <w:rPr>
          <w:rFonts w:ascii="宋体" w:hAnsi="宋体" w:eastAsia="宋体" w:cs="宋体"/>
          <w:szCs w:val="21"/>
        </w:rPr>
      </w:pPr>
      <m:oMathPara>
        <m:oMathParaPr>
          <m:jc m:val="left"/>
        </m:oMathParaPr>
        <m:oMath>
          <m:r>
            <m:rPr>
              <m:sty m:val="p"/>
            </m:rPr>
            <w:rPr>
              <w:rFonts w:hint="eastAsia" w:ascii="Cambria Math" w:hAnsi="Cambria Math" w:eastAsia="宋体" w:cs="宋体"/>
              <w:szCs w:val="21"/>
            </w:rPr>
            <m:t>P(D|+)=</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P(D)P(+|D)</m:t>
              </m:r>
              <m:ctrlPr>
                <w:rPr>
                  <w:rFonts w:hint="eastAsia" w:ascii="Cambria Math" w:hAnsi="Cambria Math" w:eastAsia="宋体" w:cs="宋体"/>
                  <w:szCs w:val="21"/>
                </w:rPr>
              </m:ctrlPr>
            </m:num>
            <m:den>
              <m:r>
                <m:rPr>
                  <m:sty m:val="p"/>
                </m:rPr>
                <w:rPr>
                  <w:rFonts w:hint="eastAsia" w:ascii="Cambria Math" w:hAnsi="Cambria Math" w:eastAsia="宋体" w:cs="宋体"/>
                  <w:szCs w:val="21"/>
                </w:rPr>
                <m:t>P(D)P(+|D)+P(H)(1−P(−|H))</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0.05×0.9</m:t>
              </m:r>
              <m:ctrlPr>
                <w:rPr>
                  <w:rFonts w:hint="eastAsia" w:ascii="Cambria Math" w:hAnsi="Cambria Math" w:eastAsia="宋体" w:cs="宋体"/>
                  <w:szCs w:val="21"/>
                </w:rPr>
              </m:ctrlPr>
            </m:num>
            <m:den>
              <m:r>
                <m:rPr>
                  <m:sty m:val="p"/>
                </m:rPr>
                <w:rPr>
                  <w:rFonts w:hint="eastAsia" w:ascii="Cambria Math" w:hAnsi="Cambria Math" w:eastAsia="宋体" w:cs="宋体"/>
                  <w:szCs w:val="21"/>
                </w:rPr>
                <m:t>0.05×0.9+(1−0.05)×(1−0.97)</m:t>
              </m:r>
              <m:ctrlPr>
                <w:rPr>
                  <w:rFonts w:hint="eastAsia" w:ascii="Cambria Math" w:hAnsi="Cambria Math" w:eastAsia="宋体" w:cs="宋体"/>
                  <w:szCs w:val="21"/>
                </w:rPr>
              </m:ctrlPr>
            </m:den>
          </m:f>
          <m:r>
            <m:rPr>
              <m:sty m:val="p"/>
            </m:rPr>
            <w:rPr>
              <w:rFonts w:hint="eastAsia" w:ascii="Cambria Math" w:hAnsi="Cambria Math" w:eastAsia="宋体" w:cs="宋体"/>
              <w:szCs w:val="21"/>
            </w:rPr>
            <m:t>=0.612</m:t>
          </m:r>
        </m:oMath>
      </m:oMathPara>
    </w:p>
    <w:p>
      <w:pPr>
        <w:pStyle w:val="4"/>
        <w:keepNext w:val="0"/>
        <w:keepLines w:val="0"/>
        <w:pageBreakBefore w:val="0"/>
        <w:widowControl w:val="0"/>
        <w:kinsoku/>
        <w:wordWrap/>
        <w:overflowPunct/>
        <w:topLinePunct w:val="0"/>
        <w:autoSpaceDE/>
        <w:autoSpaceDN/>
        <w:bidi w:val="0"/>
        <w:adjustRightInd/>
        <w:snapToGrid/>
        <w:spacing w:before="280" w:line="240" w:lineRule="auto"/>
        <w:ind w:firstLine="482" w:firstLineChars="200"/>
        <w:textAlignment w:val="auto"/>
        <w:rPr>
          <w:rFonts w:hint="default" w:ascii="Arial" w:hAnsi="Arial" w:eastAsia="黑体" w:cs="Times New Roman"/>
          <w:b/>
          <w:bCs w:val="0"/>
          <w:kern w:val="2"/>
          <w:sz w:val="24"/>
          <w:szCs w:val="20"/>
          <w:lang w:val="en-US" w:eastAsia="zh-CN" w:bidi="ar-SA"/>
        </w:rPr>
      </w:pPr>
      <w:bookmarkStart w:id="13" w:name="_Toc7795"/>
      <w:r>
        <w:rPr>
          <w:rFonts w:hint="eastAsia" w:ascii="Arial" w:hAnsi="Arial" w:eastAsia="黑体" w:cs="Times New Roman"/>
          <w:b/>
          <w:bCs w:val="0"/>
          <w:kern w:val="2"/>
          <w:sz w:val="24"/>
          <w:szCs w:val="20"/>
          <w:lang w:val="en-US" w:eastAsia="zh-CN" w:bidi="ar-SA"/>
        </w:rPr>
        <w:t>3.3实际操作</w:t>
      </w:r>
      <w:bookmarkEnd w:id="13"/>
    </w:p>
    <w:p>
      <w:pPr>
        <w:ind w:firstLine="420" w:firstLineChars="200"/>
        <w:rPr>
          <w:rFonts w:ascii="宋体" w:hAnsi="宋体" w:eastAsia="宋体" w:cs="宋体"/>
          <w:szCs w:val="21"/>
        </w:rPr>
      </w:pPr>
      <w:r>
        <w:rPr>
          <w:rFonts w:hint="eastAsia" w:ascii="宋体" w:hAnsi="宋体" w:eastAsia="宋体" w:cs="宋体"/>
          <w:szCs w:val="21"/>
        </w:rPr>
        <w:t>为了使数据计算更加简单，操作简便，问题可视化，我们利用web语言和echarts库，制作了一个模拟实验，放在了CEMT实验网站上，这个模拟实验适用于所有类似</w:t>
      </w:r>
      <w:r>
        <w:rPr>
          <w:rFonts w:hint="eastAsia" w:ascii="宋体" w:hAnsi="宋体" w:eastAsia="宋体" w:cs="宋体"/>
          <w:szCs w:val="21"/>
          <w:lang w:val="en-US" w:eastAsia="zh-CN"/>
        </w:rPr>
        <w:t>疾病</w:t>
      </w:r>
      <w:r>
        <w:rPr>
          <w:rFonts w:hint="eastAsia" w:ascii="宋体" w:hAnsi="宋体" w:eastAsia="宋体" w:cs="宋体"/>
          <w:szCs w:val="21"/>
        </w:rPr>
        <w:t>检测的医学诊断。</w:t>
      </w:r>
    </w:p>
    <w:p>
      <w:pPr>
        <w:ind w:firstLine="420" w:firstLineChars="200"/>
        <w:rPr>
          <w:rFonts w:ascii="宋体" w:hAnsi="宋体" w:eastAsia="宋体" w:cs="宋体"/>
          <w:szCs w:val="21"/>
        </w:rPr>
      </w:pPr>
      <w:r>
        <w:rPr>
          <w:rFonts w:hint="eastAsia" w:ascii="宋体" w:hAnsi="宋体" w:eastAsia="宋体" w:cs="宋体"/>
          <w:szCs w:val="21"/>
        </w:rPr>
        <w:t>将</w:t>
      </w:r>
      <w:r>
        <w:rPr>
          <w:rFonts w:hint="eastAsia" w:ascii="宋体" w:hAnsi="宋体" w:eastAsia="宋体" w:cs="宋体"/>
          <w:szCs w:val="21"/>
          <w:lang w:val="en-US" w:eastAsia="zh-CN"/>
        </w:rPr>
        <w:t>疾病</w:t>
      </w:r>
      <w:r>
        <w:rPr>
          <w:rFonts w:hint="eastAsia" w:ascii="宋体" w:hAnsi="宋体" w:eastAsia="宋体" w:cs="宋体"/>
          <w:szCs w:val="21"/>
        </w:rPr>
        <w:t>检测数据输入到网站的指定区域</w:t>
      </w:r>
    </w:p>
    <w:p>
      <w:pPr>
        <w:ind w:firstLine="420" w:firstLineChars="200"/>
        <w:jc w:val="center"/>
        <w:rPr>
          <w:rFonts w:ascii="宋体" w:hAnsi="宋体" w:eastAsia="宋体" w:cs="宋体"/>
          <w:szCs w:val="21"/>
        </w:rPr>
      </w:pPr>
      <w:r>
        <w:rPr>
          <w:rFonts w:hint="eastAsia" w:ascii="宋体" w:hAnsi="宋体" w:eastAsia="宋体" w:cs="宋体"/>
          <w:szCs w:val="21"/>
        </w:rPr>
        <w:drawing>
          <wp:inline distT="0" distB="0" distL="114300" distR="114300">
            <wp:extent cx="1854200" cy="196850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4"/>
                    <a:stretch>
                      <a:fillRect/>
                    </a:stretch>
                  </pic:blipFill>
                  <pic:spPr>
                    <a:xfrm>
                      <a:off x="0" y="0"/>
                      <a:ext cx="1854200" cy="196850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2472055" cy="1965960"/>
            <wp:effectExtent l="0" t="0" r="4445" b="254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5"/>
                    <a:stretch>
                      <a:fillRect/>
                    </a:stretch>
                  </pic:blipFill>
                  <pic:spPr>
                    <a:xfrm>
                      <a:off x="0" y="0"/>
                      <a:ext cx="2472055" cy="1965960"/>
                    </a:xfrm>
                    <a:prstGeom prst="rect">
                      <a:avLst/>
                    </a:prstGeom>
                    <a:noFill/>
                    <a:ln>
                      <a:noFill/>
                    </a:ln>
                  </pic:spPr>
                </pic:pic>
              </a:graphicData>
            </a:graphic>
          </wp:inline>
        </w:drawing>
      </w:r>
    </w:p>
    <w:p>
      <w:pPr>
        <w:ind w:firstLine="1260" w:firstLineChars="700"/>
        <w:jc w:val="center"/>
        <w:rPr>
          <w:rFonts w:ascii="Arial" w:hAnsi="Arial" w:eastAsia="黑体"/>
          <w:sz w:val="18"/>
          <w:szCs w:val="18"/>
        </w:rPr>
      </w:pPr>
      <w:r>
        <w:rPr>
          <w:rFonts w:hint="eastAsia" w:ascii="Arial" w:hAnsi="Arial" w:eastAsia="黑体"/>
          <w:sz w:val="18"/>
          <w:szCs w:val="18"/>
        </w:rPr>
        <w:t xml:space="preserve">图 </w:t>
      </w:r>
      <w:r>
        <w:rPr>
          <w:rFonts w:hint="eastAsia" w:ascii="Arial" w:hAnsi="Arial" w:eastAsia="黑体"/>
          <w:sz w:val="18"/>
          <w:szCs w:val="18"/>
        </w:rPr>
        <w:fldChar w:fldCharType="begin"/>
      </w:r>
      <w:r>
        <w:rPr>
          <w:rFonts w:hint="eastAsia" w:ascii="Arial" w:hAnsi="Arial" w:eastAsia="黑体"/>
          <w:sz w:val="18"/>
          <w:szCs w:val="18"/>
        </w:rPr>
        <w:instrText xml:space="preserve"> SEQ 图 \* ARABIC </w:instrText>
      </w:r>
      <w:r>
        <w:rPr>
          <w:rFonts w:hint="eastAsia" w:ascii="Arial" w:hAnsi="Arial" w:eastAsia="黑体"/>
          <w:sz w:val="18"/>
          <w:szCs w:val="18"/>
        </w:rPr>
        <w:fldChar w:fldCharType="separate"/>
      </w:r>
      <w:r>
        <w:rPr>
          <w:rFonts w:hint="eastAsia" w:ascii="Arial" w:hAnsi="Arial" w:eastAsia="黑体"/>
          <w:sz w:val="18"/>
          <w:szCs w:val="18"/>
        </w:rPr>
        <w:t>1</w:t>
      </w:r>
      <w:r>
        <w:rPr>
          <w:rFonts w:hint="eastAsia" w:ascii="Arial" w:hAnsi="Arial" w:eastAsia="黑体"/>
          <w:sz w:val="18"/>
          <w:szCs w:val="18"/>
        </w:rPr>
        <w:fldChar w:fldCharType="end"/>
      </w:r>
      <w:r>
        <w:rPr>
          <w:rFonts w:hint="eastAsia" w:ascii="Arial" w:hAnsi="Arial" w:eastAsia="黑体"/>
          <w:sz w:val="18"/>
          <w:szCs w:val="18"/>
        </w:rPr>
        <w:t>实际操作图</w:t>
      </w:r>
    </w:p>
    <w:p>
      <w:pPr>
        <w:ind w:firstLine="420" w:firstLineChars="200"/>
        <w:rPr>
          <w:rFonts w:ascii="宋体" w:hAnsi="宋体" w:eastAsia="宋体" w:cs="宋体"/>
          <w:szCs w:val="21"/>
        </w:rPr>
      </w:pPr>
      <w:r>
        <w:rPr>
          <w:rFonts w:hint="eastAsia" w:ascii="宋体" w:hAnsi="宋体" w:eastAsia="宋体" w:cs="宋体"/>
          <w:szCs w:val="21"/>
        </w:rPr>
        <w:t>A1为输入的发病率，B1为敏感性，C1为特异性，患病概率为left，健康概率为right，left_up1为患病呈阴性概率，left_down1为患病呈阳性概率。right_up1为健康呈阴性概率，right_down1为健康呈阳性概率，代码见图2。</w:t>
      </w:r>
    </w:p>
    <w:p>
      <w:pPr>
        <w:ind w:firstLine="420"/>
        <w:rPr>
          <w:rFonts w:ascii="宋体" w:hAnsi="宋体" w:eastAsia="宋体" w:cs="宋体"/>
          <w:szCs w:val="21"/>
        </w:rPr>
      </w:pPr>
      <w:r>
        <w:rPr>
          <w:rFonts w:hint="eastAsia" w:ascii="宋体" w:hAnsi="宋体" w:eastAsia="宋体" w:cs="宋体"/>
          <w:szCs w:val="21"/>
          <w:lang w:val="en-US" w:eastAsia="zh-CN"/>
        </w:rPr>
        <w:t>某疾病</w:t>
      </w:r>
      <w:r>
        <w:rPr>
          <w:rFonts w:hint="eastAsia" w:ascii="宋体" w:hAnsi="宋体" w:eastAsia="宋体" w:cs="宋体"/>
          <w:szCs w:val="21"/>
        </w:rPr>
        <w:t>发病率为5%，抗原检测的敏感性(患病呈阳性的概率)为90%，特异性(健康呈阴性的概率)为97%，</w:t>
      </w:r>
      <w:r>
        <w:rPr>
          <w:rFonts w:hint="eastAsia" w:ascii="宋体" w:hAnsi="宋体" w:eastAsia="宋体" w:cs="宋体"/>
          <w:szCs w:val="21"/>
          <w:lang w:val="en-US" w:eastAsia="zh-CN"/>
        </w:rPr>
        <w:t>某疾病</w:t>
      </w:r>
      <w:r>
        <w:rPr>
          <w:rFonts w:hint="eastAsia" w:ascii="宋体" w:hAnsi="宋体" w:eastAsia="宋体" w:cs="宋体"/>
          <w:szCs w:val="21"/>
        </w:rPr>
        <w:t>的敏感性为94.42%，特异性为99.35%，输入在指定区域，点击确诊率。</w:t>
      </w:r>
    </w:p>
    <w:p>
      <w:pPr>
        <w:ind w:firstLine="420" w:firstLineChars="200"/>
        <w:rPr>
          <w:rFonts w:ascii="宋体" w:hAnsi="宋体" w:eastAsia="宋体" w:cs="宋体"/>
          <w:szCs w:val="21"/>
        </w:rPr>
      </w:pPr>
      <w:r>
        <w:rPr>
          <w:rFonts w:hint="eastAsia" w:ascii="宋体" w:hAnsi="宋体" w:eastAsia="宋体" w:cs="宋体"/>
          <w:szCs w:val="21"/>
        </w:rPr>
        <w:t>下方的柱状图左边为患病人群，右边为健康人群，蓝色代表检测结果呈阴性，黄色代表检测结果呈阳性，通过上方的饼图呈现阳性中患病和健康的占比。</w:t>
      </w:r>
    </w:p>
    <w:p>
      <w:pPr>
        <w:ind w:firstLine="420" w:firstLineChars="200"/>
        <w:jc w:val="center"/>
        <w:rPr>
          <w:rFonts w:ascii="宋体" w:hAnsi="宋体" w:eastAsia="宋体" w:cs="宋体"/>
          <w:szCs w:val="21"/>
        </w:rPr>
      </w:pPr>
      <w:r>
        <w:rPr>
          <w:rFonts w:hint="eastAsia" w:ascii="宋体" w:hAnsi="宋体" w:eastAsia="宋体" w:cs="宋体"/>
          <w:szCs w:val="21"/>
        </w:rPr>
        <w:drawing>
          <wp:inline distT="0" distB="0" distL="114300" distR="114300">
            <wp:extent cx="2917190" cy="2609215"/>
            <wp:effectExtent l="0" t="0" r="3810" b="6985"/>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6"/>
                    <a:stretch>
                      <a:fillRect/>
                    </a:stretch>
                  </pic:blipFill>
                  <pic:spPr>
                    <a:xfrm>
                      <a:off x="0" y="0"/>
                      <a:ext cx="2917190" cy="2609215"/>
                    </a:xfrm>
                    <a:prstGeom prst="rect">
                      <a:avLst/>
                    </a:prstGeom>
                    <a:noFill/>
                    <a:ln>
                      <a:noFill/>
                    </a:ln>
                  </pic:spPr>
                </pic:pic>
              </a:graphicData>
            </a:graphic>
          </wp:inline>
        </w:drawing>
      </w:r>
    </w:p>
    <w:p>
      <w:pPr>
        <w:ind w:left="420" w:firstLine="360" w:firstLineChars="200"/>
        <w:jc w:val="center"/>
        <w:rPr>
          <w:rFonts w:ascii="宋体" w:hAnsi="宋体" w:eastAsia="宋体" w:cs="宋体"/>
          <w:szCs w:val="21"/>
        </w:rPr>
      </w:pPr>
      <w:r>
        <w:rPr>
          <w:rFonts w:hint="eastAsia" w:ascii="Arial" w:hAnsi="Arial" w:eastAsia="黑体"/>
          <w:sz w:val="18"/>
          <w:szCs w:val="18"/>
        </w:rPr>
        <w:t xml:space="preserve">图 </w:t>
      </w:r>
      <w:r>
        <w:rPr>
          <w:rFonts w:hint="eastAsia" w:ascii="Arial" w:hAnsi="Arial" w:eastAsia="黑体"/>
          <w:sz w:val="18"/>
          <w:szCs w:val="18"/>
          <w:lang w:val="en-US" w:eastAsia="zh-CN"/>
        </w:rPr>
        <w:t>2</w:t>
      </w:r>
      <w:r>
        <w:rPr>
          <w:rFonts w:hint="eastAsia" w:ascii="Arial" w:hAnsi="Arial" w:eastAsia="黑体"/>
          <w:sz w:val="18"/>
          <w:szCs w:val="18"/>
        </w:rPr>
        <w:t xml:space="preserve"> </w:t>
      </w:r>
      <w:r>
        <w:rPr>
          <w:rFonts w:hint="eastAsia" w:ascii="Arial" w:hAnsi="Arial" w:eastAsia="黑体"/>
          <w:sz w:val="18"/>
          <w:szCs w:val="18"/>
          <w:lang w:val="en-US" w:eastAsia="zh-CN"/>
        </w:rPr>
        <w:t>疾病</w:t>
      </w:r>
      <w:r>
        <w:rPr>
          <w:rFonts w:hint="eastAsia" w:ascii="Arial" w:hAnsi="Arial" w:eastAsia="黑体"/>
          <w:sz w:val="18"/>
          <w:szCs w:val="18"/>
        </w:rPr>
        <w:t>检测确诊率结果</w:t>
      </w:r>
    </w:p>
    <w:p>
      <w:pPr>
        <w:ind w:firstLine="420" w:firstLineChars="200"/>
        <w:rPr>
          <w:rFonts w:ascii="宋体" w:hAnsi="宋体" w:eastAsia="宋体" w:cs="宋体"/>
          <w:szCs w:val="21"/>
        </w:rPr>
      </w:pPr>
      <w:r>
        <w:rPr>
          <w:rFonts w:hint="eastAsia" w:ascii="宋体" w:hAnsi="宋体" w:eastAsia="宋体" w:cs="宋体"/>
          <w:szCs w:val="21"/>
        </w:rPr>
        <w:t>在人群中做模拟实验，在500人中用此试剂做实验，红色小球代表患病，蓝色小球代表健康</w:t>
      </w:r>
    </w:p>
    <w:p>
      <w:pPr>
        <w:ind w:firstLine="420" w:firstLineChars="200"/>
        <w:jc w:val="center"/>
        <w:rPr>
          <w:rFonts w:ascii="宋体" w:hAnsi="宋体" w:eastAsia="宋体" w:cs="宋体"/>
          <w:szCs w:val="21"/>
        </w:rPr>
      </w:pPr>
      <w:r>
        <w:rPr>
          <w:rFonts w:hint="eastAsia" w:ascii="宋体" w:hAnsi="宋体" w:eastAsia="宋体" w:cs="宋体"/>
          <w:szCs w:val="21"/>
        </w:rPr>
        <w:drawing>
          <wp:inline distT="0" distB="0" distL="114300" distR="114300">
            <wp:extent cx="3257550" cy="2473325"/>
            <wp:effectExtent l="0" t="0" r="6350" b="3175"/>
            <wp:docPr id="14" name="图片 7"/>
            <wp:cNvGraphicFramePr/>
            <a:graphic xmlns:a="http://schemas.openxmlformats.org/drawingml/2006/main">
              <a:graphicData uri="http://schemas.openxmlformats.org/drawingml/2006/picture">
                <pic:pic xmlns:pic="http://schemas.openxmlformats.org/drawingml/2006/picture">
                  <pic:nvPicPr>
                    <pic:cNvPr id="14" name="图片 7"/>
                    <pic:cNvPicPr/>
                  </pic:nvPicPr>
                  <pic:blipFill>
                    <a:blip r:embed="rId7"/>
                    <a:stretch>
                      <a:fillRect/>
                    </a:stretch>
                  </pic:blipFill>
                  <pic:spPr>
                    <a:xfrm>
                      <a:off x="0" y="0"/>
                      <a:ext cx="3257550" cy="2473325"/>
                    </a:xfrm>
                    <a:prstGeom prst="rect">
                      <a:avLst/>
                    </a:prstGeom>
                    <a:noFill/>
                    <a:ln>
                      <a:noFill/>
                    </a:ln>
                  </pic:spPr>
                </pic:pic>
              </a:graphicData>
            </a:graphic>
          </wp:inline>
        </w:drawing>
      </w:r>
    </w:p>
    <w:p>
      <w:pPr>
        <w:ind w:left="420" w:firstLine="360" w:firstLineChars="200"/>
        <w:jc w:val="center"/>
        <w:rPr>
          <w:rFonts w:ascii="Arial" w:hAnsi="Arial" w:eastAsia="黑体"/>
          <w:sz w:val="18"/>
          <w:szCs w:val="18"/>
        </w:rPr>
      </w:pPr>
      <w:r>
        <w:rPr>
          <w:rFonts w:hint="eastAsia" w:ascii="Arial" w:hAnsi="Arial" w:eastAsia="黑体"/>
          <w:sz w:val="18"/>
          <w:szCs w:val="18"/>
        </w:rPr>
        <w:t xml:space="preserve">图 </w:t>
      </w:r>
      <w:r>
        <w:rPr>
          <w:rFonts w:hint="eastAsia" w:ascii="Arial" w:hAnsi="Arial" w:eastAsia="黑体"/>
          <w:sz w:val="18"/>
          <w:szCs w:val="18"/>
          <w:lang w:val="en-US" w:eastAsia="zh-CN"/>
        </w:rPr>
        <w:t>3疾病</w:t>
      </w:r>
      <w:r>
        <w:rPr>
          <w:rFonts w:hint="eastAsia" w:ascii="Arial" w:hAnsi="Arial" w:eastAsia="黑体"/>
          <w:sz w:val="18"/>
          <w:szCs w:val="18"/>
        </w:rPr>
        <w:t>检</w:t>
      </w:r>
      <w:bookmarkStart w:id="16" w:name="_GoBack"/>
      <w:bookmarkEnd w:id="16"/>
      <w:r>
        <w:rPr>
          <w:rFonts w:hint="eastAsia" w:ascii="Arial" w:hAnsi="Arial" w:eastAsia="黑体"/>
          <w:sz w:val="18"/>
          <w:szCs w:val="18"/>
        </w:rPr>
        <w:t>测模拟实验</w:t>
      </w:r>
    </w:p>
    <w:p>
      <w:pPr>
        <w:ind w:firstLine="420" w:firstLineChars="200"/>
        <w:rPr>
          <w:rFonts w:ascii="宋体" w:hAnsi="宋体" w:eastAsia="宋体" w:cs="宋体"/>
          <w:szCs w:val="21"/>
        </w:rPr>
      </w:pPr>
      <w:r>
        <w:rPr>
          <w:rFonts w:hint="eastAsia" w:ascii="宋体" w:hAnsi="宋体" w:eastAsia="宋体" w:cs="宋体"/>
          <w:szCs w:val="21"/>
        </w:rPr>
        <w:t>可以看出</w:t>
      </w:r>
      <w:r>
        <w:rPr>
          <w:rFonts w:hint="eastAsia" w:ascii="宋体" w:hAnsi="宋体" w:eastAsia="宋体" w:cs="宋体"/>
          <w:szCs w:val="21"/>
          <w:lang w:val="en-US" w:eastAsia="zh-CN"/>
        </w:rPr>
        <w:t>疾病</w:t>
      </w:r>
      <w:r>
        <w:rPr>
          <w:rFonts w:hint="eastAsia" w:ascii="宋体" w:hAnsi="宋体" w:eastAsia="宋体" w:cs="宋体"/>
          <w:szCs w:val="21"/>
        </w:rPr>
        <w:t>检测中阳性中红色小球占比为61.2%，确诊率为61.2%与计算结果一致。</w:t>
      </w:r>
    </w:p>
    <w:p>
      <w:pPr>
        <w:ind w:firstLine="420" w:firstLineChars="200"/>
        <w:rPr>
          <w:rFonts w:ascii="宋体" w:hAnsi="宋体" w:eastAsia="宋体" w:cs="宋体"/>
          <w:szCs w:val="21"/>
        </w:rPr>
      </w:pPr>
      <w:r>
        <w:rPr>
          <w:rFonts w:hint="eastAsia" w:ascii="宋体" w:hAnsi="宋体" w:eastAsia="宋体" w:cs="宋体"/>
          <w:szCs w:val="21"/>
        </w:rPr>
        <w:t>模拟实验和理论计算呈现了相同的结果。</w:t>
      </w:r>
    </w:p>
    <w:p>
      <w:pPr>
        <w:pStyle w:val="2"/>
        <w:spacing w:after="340" w:line="288" w:lineRule="auto"/>
        <w:ind w:firstLine="562" w:firstLineChars="200"/>
        <w:jc w:val="center"/>
        <w:rPr>
          <w:rFonts w:ascii="Times New Roman" w:hAnsi="Times New Roman" w:eastAsia="黑体" w:cs="Times New Roman"/>
          <w:sz w:val="28"/>
          <w:szCs w:val="20"/>
        </w:rPr>
      </w:pPr>
      <w:bookmarkStart w:id="14" w:name="_Toc23953"/>
      <w:r>
        <w:rPr>
          <w:rFonts w:hint="eastAsia" w:ascii="Times New Roman" w:hAnsi="Times New Roman" w:eastAsia="黑体" w:cs="Times New Roman"/>
          <w:sz w:val="28"/>
          <w:szCs w:val="20"/>
        </w:rPr>
        <w:t>4 总结</w:t>
      </w:r>
      <w:bookmarkEnd w:id="14"/>
    </w:p>
    <w:p>
      <w:pPr>
        <w:ind w:firstLine="420" w:firstLineChars="200"/>
        <w:rPr>
          <w:rFonts w:ascii="宋体" w:hAnsi="宋体" w:eastAsia="宋体" w:cs="宋体"/>
          <w:szCs w:val="21"/>
        </w:rPr>
      </w:pPr>
      <w:r>
        <w:rPr>
          <w:rFonts w:hint="eastAsia" w:ascii="宋体" w:hAnsi="宋体" w:eastAsia="宋体" w:cs="宋体"/>
          <w:szCs w:val="21"/>
          <w:lang w:val="en-US" w:eastAsia="zh-CN"/>
        </w:rPr>
        <w:t>疾病</w:t>
      </w:r>
      <w:r>
        <w:rPr>
          <w:rFonts w:hint="eastAsia" w:ascii="宋体" w:hAnsi="宋体" w:eastAsia="宋体" w:cs="宋体"/>
          <w:szCs w:val="21"/>
        </w:rPr>
        <w:t>检测模拟实验的方法可以解决一系列类似的医学问题，根据现象研究背后的数学原理，解决实际问题。</w:t>
      </w:r>
    </w:p>
    <w:p>
      <w:pPr>
        <w:ind w:firstLine="420" w:firstLineChars="200"/>
        <w:rPr>
          <w:rFonts w:ascii="宋体" w:hAnsi="宋体" w:eastAsia="宋体" w:cs="宋体"/>
          <w:szCs w:val="21"/>
        </w:rPr>
      </w:pPr>
      <w:r>
        <w:rPr>
          <w:rFonts w:hint="eastAsia" w:ascii="宋体" w:hAnsi="宋体" w:eastAsia="宋体" w:cs="宋体"/>
          <w:szCs w:val="21"/>
        </w:rPr>
        <w:t>模拟实验通过</w:t>
      </w:r>
      <w:r>
        <w:rPr>
          <w:rFonts w:hint="eastAsia" w:ascii="宋体" w:hAnsi="宋体" w:eastAsia="宋体" w:cs="宋体"/>
          <w:szCs w:val="21"/>
          <w:lang w:val="en-US" w:eastAsia="zh-CN"/>
        </w:rPr>
        <w:t>程序设计的方法可以</w:t>
      </w:r>
      <w:r>
        <w:rPr>
          <w:rFonts w:hint="eastAsia" w:ascii="宋体" w:hAnsi="宋体" w:eastAsia="宋体" w:cs="宋体"/>
          <w:szCs w:val="21"/>
        </w:rPr>
        <w:t>将抽象复杂难以理解的问题可视化具体化。利用模拟实验的交互性和计算机强大的计算功能，输入已知的条件数据，即可得到对应的结果数据，计算迅速，结果直观，便于理解。</w:t>
      </w:r>
    </w:p>
    <w:p>
      <w:pPr>
        <w:ind w:firstLine="420" w:firstLineChars="200"/>
        <w:rPr>
          <w:rFonts w:ascii="宋体" w:hAnsi="宋体" w:eastAsia="宋体" w:cs="宋体"/>
          <w:szCs w:val="21"/>
        </w:rPr>
      </w:pPr>
      <w:r>
        <w:rPr>
          <w:rFonts w:hint="eastAsia" w:ascii="宋体" w:hAnsi="宋体" w:eastAsia="宋体" w:cs="宋体"/>
          <w:szCs w:val="21"/>
        </w:rPr>
        <w:t>数学问题与程序设计结合，利用程序的简便性解决数学问题中计算困难，定义抽象等问题。运用编程工具将复杂问题可视化，抽象问题具体化，实现用程序解决概率问题，辅助教师教学，帮助学生理解，充分激发学生的学习兴趣，从实际问题出发，更好的理解数学问题的内涵。</w:t>
      </w:r>
      <w:bookmarkStart w:id="15" w:name="_Toc14662"/>
    </w:p>
    <w:p>
      <w:pPr>
        <w:ind w:firstLine="422" w:firstLineChars="200"/>
        <w:rPr>
          <w:rFonts w:ascii="宋体" w:hAnsi="宋体" w:eastAsia="宋体" w:cs="宋体"/>
          <w:b/>
          <w:szCs w:val="21"/>
        </w:rPr>
      </w:pPr>
      <w:r>
        <w:rPr>
          <w:rFonts w:hint="eastAsia" w:ascii="宋体" w:hAnsi="宋体" w:eastAsia="宋体" w:cs="宋体"/>
          <w:b/>
          <w:szCs w:val="21"/>
        </w:rPr>
        <w:t>【参考文献】</w:t>
      </w:r>
      <w:bookmarkEnd w:id="15"/>
    </w:p>
    <w:p>
      <w:pPr>
        <w:ind w:firstLine="360" w:firstLineChars="200"/>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王福顺,董淑芬,孙小华,田苗.</w:t>
      </w:r>
      <w:r>
        <w:rPr>
          <w:rFonts w:ascii="宋体" w:hAnsi="宋体" w:eastAsia="宋体" w:cs="宋体"/>
          <w:sz w:val="18"/>
          <w:szCs w:val="18"/>
        </w:rPr>
        <w:t>Python 赋能概率论与数理统计教学与实践［Ｊ］．</w:t>
      </w:r>
      <w:r>
        <w:rPr>
          <w:rFonts w:hint="eastAsia" w:ascii="宋体" w:hAnsi="宋体" w:eastAsia="宋体" w:cs="宋体"/>
          <w:sz w:val="18"/>
          <w:szCs w:val="18"/>
          <w:lang w:val="en-US" w:eastAsia="zh-CN"/>
        </w:rPr>
        <w:t>中国多媒体网络教学学报</w:t>
      </w:r>
      <w:r>
        <w:rPr>
          <w:rFonts w:hint="eastAsia" w:ascii="宋体" w:hAnsi="宋体" w:eastAsia="宋体" w:cs="宋体"/>
          <w:sz w:val="18"/>
          <w:szCs w:val="18"/>
        </w:rPr>
        <w:t>,2021(3)：218-220</w:t>
      </w:r>
    </w:p>
    <w:p>
      <w:pPr>
        <w:ind w:firstLine="360" w:firstLineChars="200"/>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王燕.</w:t>
      </w:r>
      <w:r>
        <w:rPr>
          <w:rFonts w:ascii="宋体" w:hAnsi="宋体" w:eastAsia="宋体" w:cs="宋体"/>
          <w:sz w:val="18"/>
          <w:szCs w:val="18"/>
        </w:rPr>
        <w:t>贝叶斯公式的微课教学设计与实践［Ｊ］</w:t>
      </w:r>
      <w:r>
        <w:rPr>
          <w:rFonts w:hint="eastAsia" w:ascii="宋体" w:hAnsi="宋体" w:eastAsia="宋体" w:cs="宋体"/>
          <w:sz w:val="18"/>
          <w:szCs w:val="18"/>
        </w:rPr>
        <w:t>.合肥师范学院学报,2021(39)：76-78.</w:t>
      </w:r>
    </w:p>
    <w:p>
      <w:pPr>
        <w:ind w:firstLine="360" w:firstLineChars="200"/>
        <w:rPr>
          <w:rFonts w:ascii="宋体" w:hAnsi="宋体" w:eastAsia="宋体" w:cs="宋体"/>
          <w:sz w:val="18"/>
          <w:szCs w:val="18"/>
        </w:rPr>
      </w:pPr>
      <w:r>
        <w:rPr>
          <w:rFonts w:hint="eastAsia" w:ascii="宋体" w:hAnsi="宋体" w:eastAsia="宋体" w:cs="宋体"/>
          <w:sz w:val="18"/>
          <w:szCs w:val="18"/>
        </w:rPr>
        <w:t>［3]徐彬</w:t>
      </w:r>
      <w:r>
        <w:rPr>
          <w:rFonts w:ascii="宋体" w:hAnsi="宋体" w:eastAsia="宋体" w:cs="宋体"/>
          <w:sz w:val="18"/>
          <w:szCs w:val="18"/>
        </w:rPr>
        <w:t>．关于贝叶斯公式的教学设计与实践［Ｊ］．科教导刊，</w:t>
      </w:r>
      <w:r>
        <w:rPr>
          <w:rFonts w:hint="eastAsia" w:ascii="宋体" w:hAnsi="宋体" w:eastAsia="宋体" w:cs="宋体"/>
          <w:sz w:val="18"/>
          <w:szCs w:val="18"/>
        </w:rPr>
        <w:t>2016（13）：51-52</w:t>
      </w:r>
      <w:r>
        <w:rPr>
          <w:rFonts w:ascii="宋体" w:hAnsi="宋体" w:eastAsia="宋体" w:cs="宋体"/>
          <w:sz w:val="18"/>
          <w:szCs w:val="18"/>
        </w:rPr>
        <w:t xml:space="preserve">． </w:t>
      </w:r>
    </w:p>
    <w:p>
      <w:pPr>
        <w:ind w:firstLine="360" w:firstLineChars="200"/>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4</w:t>
      </w:r>
      <w:r>
        <w:rPr>
          <w:rFonts w:ascii="宋体" w:hAnsi="宋体" w:eastAsia="宋体" w:cs="宋体"/>
          <w:sz w:val="18"/>
          <w:szCs w:val="18"/>
        </w:rPr>
        <w:t>］张瑜，黄华，李 新 鹏．融入思想政治元素的《概率论与数理统计》课程教学设计案例分析［Ｊ］．产业与科技论坛，</w:t>
      </w:r>
      <w:r>
        <w:rPr>
          <w:rFonts w:hint="eastAsia" w:ascii="宋体" w:hAnsi="宋体" w:eastAsia="宋体" w:cs="宋体"/>
          <w:sz w:val="18"/>
          <w:szCs w:val="18"/>
        </w:rPr>
        <w:t>2020（16）</w:t>
      </w:r>
      <w:r>
        <w:rPr>
          <w:rFonts w:ascii="宋体" w:hAnsi="宋体" w:eastAsia="宋体" w:cs="宋体"/>
          <w:sz w:val="18"/>
          <w:szCs w:val="18"/>
        </w:rPr>
        <w:t>：</w:t>
      </w:r>
      <w:r>
        <w:rPr>
          <w:rFonts w:hint="eastAsia" w:ascii="宋体" w:hAnsi="宋体" w:eastAsia="宋体" w:cs="宋体"/>
          <w:sz w:val="18"/>
          <w:szCs w:val="18"/>
        </w:rPr>
        <w:t>212-213</w:t>
      </w:r>
      <w:r>
        <w:rPr>
          <w:rFonts w:ascii="宋体" w:hAnsi="宋体" w:eastAsia="宋体" w:cs="宋体"/>
          <w:sz w:val="18"/>
          <w:szCs w:val="18"/>
        </w:rPr>
        <w:t>．</w:t>
      </w:r>
    </w:p>
    <w:p>
      <w:pPr>
        <w:ind w:firstLine="360" w:firstLineChars="200"/>
        <w:rPr>
          <w:rFonts w:ascii="宋体" w:hAnsi="宋体" w:eastAsia="宋体" w:cs="宋体"/>
          <w:sz w:val="18"/>
          <w:szCs w:val="1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Tk4OWY2ODFhZTI5NDJjOGQzOTQ1YmZhYmUxMTIifQ=="/>
  </w:docVars>
  <w:rsids>
    <w:rsidRoot w:val="1DE13FFF"/>
    <w:rsid w:val="001C1BB7"/>
    <w:rsid w:val="00331C31"/>
    <w:rsid w:val="003F30A4"/>
    <w:rsid w:val="004F798E"/>
    <w:rsid w:val="009126EF"/>
    <w:rsid w:val="009F423A"/>
    <w:rsid w:val="00E36753"/>
    <w:rsid w:val="00FD5BAA"/>
    <w:rsid w:val="03040EB8"/>
    <w:rsid w:val="07153E89"/>
    <w:rsid w:val="07887DC3"/>
    <w:rsid w:val="09F74D8F"/>
    <w:rsid w:val="0BBE7B2E"/>
    <w:rsid w:val="114C31B2"/>
    <w:rsid w:val="11886368"/>
    <w:rsid w:val="15FC2DEF"/>
    <w:rsid w:val="16E27057"/>
    <w:rsid w:val="1B6225F6"/>
    <w:rsid w:val="1DE13FFF"/>
    <w:rsid w:val="1EA23DFC"/>
    <w:rsid w:val="1F9A6841"/>
    <w:rsid w:val="25513DD0"/>
    <w:rsid w:val="28925225"/>
    <w:rsid w:val="28DF4779"/>
    <w:rsid w:val="2B3E30FF"/>
    <w:rsid w:val="2BEB2C0F"/>
    <w:rsid w:val="2F841651"/>
    <w:rsid w:val="3293157A"/>
    <w:rsid w:val="32E25471"/>
    <w:rsid w:val="342674B1"/>
    <w:rsid w:val="36917B05"/>
    <w:rsid w:val="36AD391F"/>
    <w:rsid w:val="36C17C0F"/>
    <w:rsid w:val="39465A1F"/>
    <w:rsid w:val="3A474F0A"/>
    <w:rsid w:val="3BD37F40"/>
    <w:rsid w:val="3CC7516E"/>
    <w:rsid w:val="3E4A7EFB"/>
    <w:rsid w:val="40B527D7"/>
    <w:rsid w:val="41BC5355"/>
    <w:rsid w:val="43BE0C10"/>
    <w:rsid w:val="44134CD1"/>
    <w:rsid w:val="44A3454F"/>
    <w:rsid w:val="45972728"/>
    <w:rsid w:val="475B1851"/>
    <w:rsid w:val="47737DB4"/>
    <w:rsid w:val="48DF35C6"/>
    <w:rsid w:val="49224458"/>
    <w:rsid w:val="4F127C31"/>
    <w:rsid w:val="4F397173"/>
    <w:rsid w:val="52FF5AEB"/>
    <w:rsid w:val="56B80586"/>
    <w:rsid w:val="580767EB"/>
    <w:rsid w:val="5C727C9C"/>
    <w:rsid w:val="61286288"/>
    <w:rsid w:val="612D1DF1"/>
    <w:rsid w:val="61AD0BAA"/>
    <w:rsid w:val="643229A2"/>
    <w:rsid w:val="67792470"/>
    <w:rsid w:val="68E80D82"/>
    <w:rsid w:val="6BFB1A23"/>
    <w:rsid w:val="6CDF71F3"/>
    <w:rsid w:val="6CFE3050"/>
    <w:rsid w:val="6DDC1FD0"/>
    <w:rsid w:val="6E0E5C13"/>
    <w:rsid w:val="6EA022FB"/>
    <w:rsid w:val="6FEA65BB"/>
    <w:rsid w:val="70453BB5"/>
    <w:rsid w:val="708D2BFB"/>
    <w:rsid w:val="710549DD"/>
    <w:rsid w:val="718129CA"/>
    <w:rsid w:val="74946CF9"/>
    <w:rsid w:val="74982818"/>
    <w:rsid w:val="76160A0D"/>
    <w:rsid w:val="788B4BDB"/>
    <w:rsid w:val="79BD7E45"/>
    <w:rsid w:val="7A8B5C91"/>
    <w:rsid w:val="7AC31A8D"/>
    <w:rsid w:val="7ACE2E6B"/>
    <w:rsid w:val="7E2B2F97"/>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240" w:lineRule="auto"/>
      <w:outlineLvl w:val="0"/>
    </w:pPr>
    <w:rPr>
      <w:rFonts w:asciiTheme="minorAscii" w:hAnsiTheme="minorAscii"/>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页眉 字符"/>
    <w:basedOn w:val="13"/>
    <w:link w:val="8"/>
    <w:qFormat/>
    <w:uiPriority w:val="0"/>
    <w:rPr>
      <w:rFonts w:asciiTheme="minorHAnsi" w:hAnsiTheme="minorHAnsi" w:eastAsiaTheme="minorEastAsia" w:cstheme="minorBidi"/>
      <w:kern w:val="2"/>
      <w:sz w:val="18"/>
      <w:szCs w:val="18"/>
    </w:rPr>
  </w:style>
  <w:style w:type="character" w:customStyle="1" w:styleId="21">
    <w:name w:val="p中(英)作者名 Char"/>
    <w:link w:val="22"/>
    <w:qFormat/>
    <w:locked/>
    <w:uiPriority w:val="0"/>
    <w:rPr>
      <w:rFonts w:ascii="仿宋" w:hAnsi="仿宋" w:eastAsia="仿宋"/>
      <w:color w:val="000000"/>
      <w:sz w:val="28"/>
      <w:szCs w:val="28"/>
    </w:rPr>
  </w:style>
  <w:style w:type="paragraph" w:customStyle="1" w:styleId="22">
    <w:name w:val="p中(英)作者名"/>
    <w:link w:val="21"/>
    <w:qFormat/>
    <w:locked/>
    <w:uiPriority w:val="0"/>
    <w:pPr>
      <w:jc w:val="center"/>
    </w:pPr>
    <w:rPr>
      <w:rFonts w:ascii="仿宋" w:hAnsi="仿宋" w:eastAsia="仿宋" w:cs="Times New Roman"/>
      <w:color w:val="000000"/>
      <w:sz w:val="28"/>
      <w:szCs w:val="28"/>
      <w:lang w:val="en-US" w:eastAsia="zh-CN" w:bidi="ar-SA"/>
    </w:rPr>
  </w:style>
  <w:style w:type="character" w:customStyle="1" w:styleId="23">
    <w:name w:val="p中(英)单位 Char"/>
    <w:link w:val="24"/>
    <w:qFormat/>
    <w:locked/>
    <w:uiPriority w:val="0"/>
    <w:rPr>
      <w:color w:val="000000"/>
      <w:sz w:val="18"/>
      <w:szCs w:val="18"/>
    </w:rPr>
  </w:style>
  <w:style w:type="paragraph" w:customStyle="1" w:styleId="24">
    <w:name w:val="p中(英)单位"/>
    <w:link w:val="23"/>
    <w:qFormat/>
    <w:uiPriority w:val="0"/>
    <w:pPr>
      <w:jc w:val="center"/>
    </w:pPr>
    <w:rPr>
      <w:rFonts w:ascii="Times New Roman" w:hAnsi="Times New Roman" w:eastAsia="宋体" w:cs="Times New Roman"/>
      <w:color w:val="000000"/>
      <w:sz w:val="18"/>
      <w:szCs w:val="18"/>
      <w:lang w:val="en-US" w:eastAsia="zh-CN" w:bidi="ar-SA"/>
    </w:rPr>
  </w:style>
  <w:style w:type="character" w:customStyle="1" w:styleId="25">
    <w:name w:val="p中(英)摘要关键词 Char"/>
    <w:link w:val="26"/>
    <w:qFormat/>
    <w:locked/>
    <w:uiPriority w:val="0"/>
    <w:rPr>
      <w:rFonts w:ascii="华文仿宋" w:hAnsi="华文仿宋" w:eastAsia="华文仿宋" w:cs="华文仿宋"/>
      <w:bCs/>
      <w:color w:val="000000"/>
      <w:sz w:val="18"/>
      <w:szCs w:val="18"/>
    </w:rPr>
  </w:style>
  <w:style w:type="paragraph" w:customStyle="1" w:styleId="26">
    <w:name w:val="p中(英)摘要关键词"/>
    <w:next w:val="1"/>
    <w:link w:val="25"/>
    <w:qFormat/>
    <w:locked/>
    <w:uiPriority w:val="0"/>
    <w:pPr>
      <w:jc w:val="both"/>
    </w:pPr>
    <w:rPr>
      <w:rFonts w:ascii="华文仿宋" w:hAnsi="华文仿宋" w:eastAsia="华文仿宋" w:cs="华文仿宋"/>
      <w:bCs/>
      <w:color w:val="00000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2316</Words>
  <Characters>3499</Characters>
  <Lines>38</Lines>
  <Paragraphs>10</Paragraphs>
  <TotalTime>9</TotalTime>
  <ScaleCrop>false</ScaleCrop>
  <LinksUpToDate>false</LinksUpToDate>
  <CharactersWithSpaces>3660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2022-01-28T04:27:00Z</dcterms:created>
  <dc:creator>WPS_1601542560</dc:creator>
  <cp:lastModifiedBy>云胡不喜</cp:lastModifiedBy>
  <dcterms:modified xsi:type="dcterms:W3CDTF">2023-01-28T12:59:12Z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8B6E789BA5844F99B82F263C85CDFB82</vt:lpwstr>
  </property>
  <property fmtid="{D5CDD505-2E9C-101B-9397-08002B2CF9AE}" pid="4" name="commondata">
    <vt:lpwstr>eyJoZGlkIjoiZDg5YjBiYjUzN2FmYmU2MzUxNzliYTYyZTA5ODdhODIifQ==</vt:lpwstr>
  </property>
</Properties>
</file>