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专升本学生</w:t>
      </w:r>
      <w:r>
        <w:rPr>
          <w:rFonts w:hint="eastAsia" w:ascii="黑体" w:hAnsi="黑体" w:eastAsia="黑体" w:cs="黑体"/>
          <w:b/>
          <w:bCs/>
          <w:sz w:val="32"/>
          <w:szCs w:val="32"/>
          <w:lang w:val="en-US" w:eastAsia="zh-CN"/>
        </w:rPr>
        <w:t>的</w:t>
      </w:r>
      <w:r>
        <w:rPr>
          <w:rFonts w:hint="eastAsia" w:ascii="黑体" w:hAnsi="黑体" w:eastAsia="黑体" w:cs="黑体"/>
          <w:b/>
          <w:bCs/>
          <w:sz w:val="32"/>
          <w:szCs w:val="32"/>
        </w:rPr>
        <w:t>教学改革探索</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——以《</w:t>
      </w:r>
      <w:r>
        <w:rPr>
          <w:rFonts w:hint="eastAsia" w:ascii="黑体" w:hAnsi="黑体" w:eastAsia="黑体" w:cs="黑体"/>
          <w:b/>
          <w:bCs/>
          <w:sz w:val="32"/>
          <w:szCs w:val="32"/>
        </w:rPr>
        <w:t>病原生物与免疫学</w:t>
      </w:r>
      <w:r>
        <w:rPr>
          <w:rFonts w:hint="eastAsia" w:ascii="黑体" w:hAnsi="黑体" w:eastAsia="黑体" w:cs="黑体"/>
          <w:b/>
          <w:bCs/>
          <w:sz w:val="32"/>
          <w:szCs w:val="32"/>
          <w:lang w:val="en-US" w:eastAsia="zh-CN"/>
        </w:rPr>
        <w:t>》</w:t>
      </w:r>
      <w:r>
        <w:rPr>
          <w:rFonts w:hint="eastAsia" w:ascii="黑体" w:hAnsi="黑体" w:eastAsia="黑体" w:cs="黑体"/>
          <w:b/>
          <w:bCs/>
          <w:sz w:val="32"/>
          <w:szCs w:val="32"/>
        </w:rPr>
        <w:t>课程</w:t>
      </w:r>
      <w:r>
        <w:rPr>
          <w:rFonts w:hint="eastAsia" w:ascii="黑体" w:hAnsi="黑体" w:eastAsia="黑体" w:cs="黑体"/>
          <w:b/>
          <w:bCs/>
          <w:sz w:val="32"/>
          <w:szCs w:val="32"/>
          <w:lang w:val="en-US" w:eastAsia="zh-CN"/>
        </w:rPr>
        <w:t>为例</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王晓英</w:t>
      </w:r>
      <w:r>
        <w:rPr>
          <w:rFonts w:hint="eastAsia" w:ascii="宋体" w:hAnsi="宋体" w:eastAsia="宋体" w:cs="宋体"/>
          <w:sz w:val="32"/>
          <w:szCs w:val="32"/>
          <w:vertAlign w:val="superscript"/>
          <w:lang w:val="en-US" w:eastAsia="zh-CN"/>
        </w:rPr>
        <w:t>a</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郑露</w:t>
      </w:r>
      <w:r>
        <w:rPr>
          <w:rFonts w:hint="eastAsia" w:ascii="宋体" w:hAnsi="宋体" w:eastAsia="宋体" w:cs="宋体"/>
          <w:sz w:val="32"/>
          <w:szCs w:val="32"/>
          <w:vertAlign w:val="superscript"/>
          <w:lang w:val="en-US" w:eastAsia="zh-CN"/>
        </w:rPr>
        <w:t>a</w:t>
      </w:r>
      <w:r>
        <w:rPr>
          <w:rFonts w:hint="eastAsia" w:ascii="宋体" w:hAnsi="宋体" w:eastAsia="宋体" w:cs="宋体"/>
          <w:sz w:val="32"/>
          <w:szCs w:val="32"/>
          <w:lang w:val="en-US" w:eastAsia="zh-CN"/>
        </w:rPr>
        <w:t>，宫兆淼</w:t>
      </w:r>
      <w:r>
        <w:rPr>
          <w:rFonts w:hint="eastAsia" w:ascii="宋体" w:hAnsi="宋体" w:eastAsia="宋体" w:cs="宋体"/>
          <w:sz w:val="32"/>
          <w:szCs w:val="32"/>
          <w:vertAlign w:val="superscript"/>
          <w:lang w:val="en-US" w:eastAsia="zh-CN"/>
        </w:rPr>
        <w:t>b</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（重庆医药高等专科学校，</w:t>
      </w:r>
      <w:r>
        <w:rPr>
          <w:rFonts w:hint="eastAsia" w:ascii="宋体" w:hAnsi="宋体" w:eastAsia="宋体" w:cs="宋体"/>
          <w:sz w:val="32"/>
          <w:szCs w:val="32"/>
          <w:lang w:val="en-US" w:eastAsia="zh-CN"/>
        </w:rPr>
        <w:t xml:space="preserve">a.医学技术学院；b.人事处 </w:t>
      </w:r>
      <w:r>
        <w:rPr>
          <w:rFonts w:hint="eastAsia" w:ascii="宋体" w:hAnsi="宋体" w:eastAsia="宋体" w:cs="宋体"/>
          <w:sz w:val="32"/>
          <w:szCs w:val="32"/>
        </w:rPr>
        <w:t>重庆4</w:t>
      </w:r>
      <w:r>
        <w:rPr>
          <w:rFonts w:hint="eastAsia" w:ascii="宋体" w:hAnsi="宋体" w:eastAsia="宋体" w:cs="宋体"/>
          <w:sz w:val="32"/>
          <w:szCs w:val="32"/>
        </w:rPr>
        <w:t>01331</w:t>
      </w:r>
      <w:r>
        <w:rPr>
          <w:rFonts w:hint="eastAsia" w:ascii="宋体" w:hAnsi="宋体" w:eastAsia="宋体" w:cs="宋体"/>
          <w:sz w:val="32"/>
          <w:szCs w:val="3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楷体" w:hAnsi="楷体" w:eastAsia="楷体" w:cs="楷体"/>
          <w:sz w:val="32"/>
          <w:szCs w:val="32"/>
          <w:lang w:val="en-US" w:eastAsia="zh-CN"/>
        </w:rPr>
      </w:pPr>
      <w:r>
        <w:rPr>
          <w:rFonts w:hint="eastAsia" w:ascii="楷体" w:hAnsi="楷体" w:eastAsia="楷体" w:cs="楷体"/>
          <w:b/>
          <w:bCs/>
          <w:sz w:val="32"/>
          <w:szCs w:val="32"/>
          <w:lang w:val="en-US" w:eastAsia="zh-CN"/>
        </w:rPr>
        <w:t>摘 要</w:t>
      </w:r>
      <w:r>
        <w:rPr>
          <w:rFonts w:hint="eastAsia" w:ascii="楷体" w:hAnsi="楷体" w:eastAsia="楷体" w:cs="楷体"/>
          <w:b/>
          <w:bCs/>
          <w:sz w:val="32"/>
          <w:szCs w:val="32"/>
          <w:lang w:val="en-US" w:eastAsia="zh-CN"/>
        </w:rPr>
        <w:t>：</w:t>
      </w:r>
      <w:r>
        <w:rPr>
          <w:rFonts w:hint="eastAsia" w:ascii="楷体" w:hAnsi="楷体" w:eastAsia="楷体" w:cs="楷体"/>
          <w:sz w:val="32"/>
          <w:szCs w:val="32"/>
          <w:lang w:val="en-US" w:eastAsia="zh-CN"/>
        </w:rPr>
        <w:t>专升本学生是一个特殊的群体，专科及本科的教学方式对其适用性欠佳。因此，需根据</w:t>
      </w:r>
      <w:r>
        <w:rPr>
          <w:rFonts w:hint="eastAsia" w:ascii="楷体" w:hAnsi="楷体" w:eastAsia="楷体" w:cs="楷体"/>
          <w:sz w:val="32"/>
          <w:szCs w:val="32"/>
        </w:rPr>
        <w:t>专升本学生学习基础、学习现状以及学习目标，</w:t>
      </w:r>
      <w:r>
        <w:rPr>
          <w:rFonts w:hint="eastAsia" w:ascii="楷体" w:hAnsi="楷体" w:eastAsia="楷体" w:cs="楷体"/>
          <w:sz w:val="32"/>
          <w:szCs w:val="32"/>
          <w:lang w:val="en-US" w:eastAsia="zh-CN"/>
        </w:rPr>
        <w:t>对其课程教学改革进行探索，</w:t>
      </w:r>
      <w:r>
        <w:rPr>
          <w:rFonts w:hint="eastAsia" w:ascii="楷体" w:hAnsi="楷体" w:eastAsia="楷体" w:cs="楷体"/>
          <w:sz w:val="32"/>
          <w:szCs w:val="32"/>
        </w:rPr>
        <w:t>以期提高专升本学生的学习兴趣和学习质量。病原生物与免疫学课程</w:t>
      </w:r>
      <w:r>
        <w:rPr>
          <w:rFonts w:hint="eastAsia" w:ascii="楷体" w:hAnsi="楷体" w:eastAsia="楷体" w:cs="楷体"/>
          <w:sz w:val="32"/>
          <w:szCs w:val="32"/>
          <w:lang w:val="en-US" w:eastAsia="zh-CN"/>
        </w:rPr>
        <w:t>是</w:t>
      </w:r>
      <w:r>
        <w:rPr>
          <w:rFonts w:hint="eastAsia" w:ascii="楷体" w:hAnsi="楷体" w:eastAsia="楷体" w:cs="楷体"/>
          <w:sz w:val="32"/>
          <w:szCs w:val="32"/>
        </w:rPr>
        <w:t>药物分析专业</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专升本</w:t>
      </w:r>
      <w:r>
        <w:rPr>
          <w:rFonts w:hint="eastAsia" w:ascii="楷体" w:hAnsi="楷体" w:eastAsia="楷体" w:cs="楷体"/>
          <w:sz w:val="32"/>
          <w:szCs w:val="32"/>
          <w:lang w:eastAsia="zh-CN"/>
        </w:rPr>
        <w:t>）</w:t>
      </w:r>
      <w:r>
        <w:rPr>
          <w:rFonts w:hint="eastAsia" w:ascii="楷体" w:hAnsi="楷体" w:eastAsia="楷体" w:cs="楷体"/>
          <w:sz w:val="32"/>
          <w:szCs w:val="32"/>
        </w:rPr>
        <w:t>的</w:t>
      </w:r>
      <w:r>
        <w:rPr>
          <w:rFonts w:hint="eastAsia" w:ascii="楷体" w:hAnsi="楷体" w:eastAsia="楷体" w:cs="楷体"/>
          <w:sz w:val="32"/>
          <w:szCs w:val="32"/>
          <w:lang w:val="en-US" w:eastAsia="zh-CN"/>
        </w:rPr>
        <w:t>专业基础课程，通过分析</w:t>
      </w:r>
      <w:r>
        <w:rPr>
          <w:rFonts w:hint="eastAsia" w:ascii="楷体" w:hAnsi="楷体" w:eastAsia="楷体" w:cs="楷体"/>
          <w:sz w:val="32"/>
          <w:szCs w:val="32"/>
        </w:rPr>
        <w:t>病原生物与免疫学课程特点</w:t>
      </w:r>
      <w:r>
        <w:rPr>
          <w:rFonts w:hint="eastAsia" w:ascii="楷体" w:hAnsi="楷体" w:eastAsia="楷体" w:cs="楷体"/>
          <w:sz w:val="32"/>
          <w:szCs w:val="32"/>
          <w:lang w:val="en-US" w:eastAsia="zh-CN"/>
        </w:rPr>
        <w:t>以及</w:t>
      </w:r>
      <w:r>
        <w:rPr>
          <w:rFonts w:hint="eastAsia" w:ascii="楷体" w:hAnsi="楷体" w:eastAsia="楷体" w:cs="楷体"/>
          <w:sz w:val="32"/>
          <w:szCs w:val="32"/>
        </w:rPr>
        <w:t>学生的学习经历，</w:t>
      </w:r>
      <w:r>
        <w:rPr>
          <w:rFonts w:hint="eastAsia" w:ascii="楷体" w:hAnsi="楷体" w:eastAsia="楷体" w:cs="楷体"/>
          <w:sz w:val="32"/>
          <w:szCs w:val="32"/>
          <w:lang w:val="en-US" w:eastAsia="zh-CN"/>
        </w:rPr>
        <w:t>对该</w:t>
      </w:r>
      <w:r>
        <w:rPr>
          <w:rFonts w:hint="eastAsia" w:ascii="楷体" w:hAnsi="楷体" w:eastAsia="楷体" w:cs="楷体"/>
          <w:sz w:val="32"/>
          <w:szCs w:val="32"/>
        </w:rPr>
        <w:t>课程</w:t>
      </w:r>
      <w:r>
        <w:rPr>
          <w:rFonts w:hint="eastAsia" w:ascii="楷体" w:hAnsi="楷体" w:eastAsia="楷体" w:cs="楷体"/>
          <w:sz w:val="32"/>
          <w:szCs w:val="32"/>
          <w:lang w:val="en-US" w:eastAsia="zh-CN"/>
        </w:rPr>
        <w:t>内容进行</w:t>
      </w:r>
      <w:r>
        <w:rPr>
          <w:rFonts w:hint="eastAsia" w:ascii="楷体" w:hAnsi="楷体" w:eastAsia="楷体" w:cs="楷体"/>
          <w:sz w:val="32"/>
          <w:szCs w:val="32"/>
        </w:rPr>
        <w:t>整合优化</w:t>
      </w:r>
      <w:r>
        <w:rPr>
          <w:rFonts w:hint="eastAsia" w:ascii="楷体" w:hAnsi="楷体" w:eastAsia="楷体" w:cs="楷体"/>
          <w:sz w:val="32"/>
          <w:szCs w:val="32"/>
          <w:lang w:val="en-US" w:eastAsia="zh-CN"/>
        </w:rPr>
        <w:t>并对课程教学方法改革进行探索</w:t>
      </w:r>
      <w:r>
        <w:rPr>
          <w:rFonts w:hint="eastAsia" w:ascii="楷体" w:hAnsi="楷体" w:eastAsia="楷体" w:cs="楷体"/>
          <w:sz w:val="32"/>
          <w:szCs w:val="32"/>
        </w:rPr>
        <w:t>。教学实践证明，病原生物与免疫学课程的教学改革在促进</w:t>
      </w:r>
      <w:r>
        <w:rPr>
          <w:rFonts w:hint="eastAsia" w:ascii="楷体" w:hAnsi="楷体" w:eastAsia="楷体" w:cs="楷体"/>
          <w:sz w:val="32"/>
          <w:szCs w:val="32"/>
          <w:lang w:val="en-US" w:eastAsia="zh-CN"/>
        </w:rPr>
        <w:t>专升本</w:t>
      </w:r>
      <w:r>
        <w:rPr>
          <w:rFonts w:hint="eastAsia" w:ascii="楷体" w:hAnsi="楷体" w:eastAsia="楷体" w:cs="楷体"/>
          <w:sz w:val="32"/>
          <w:szCs w:val="32"/>
        </w:rPr>
        <w:t>学生的学习主动性、提高自主分析能力以及学习参与度等方面起到了明显的</w:t>
      </w:r>
      <w:r>
        <w:rPr>
          <w:rFonts w:hint="eastAsia" w:ascii="楷体" w:hAnsi="楷体" w:eastAsia="楷体" w:cs="楷体"/>
          <w:sz w:val="32"/>
          <w:szCs w:val="32"/>
          <w:lang w:val="en-US" w:eastAsia="zh-CN"/>
        </w:rPr>
        <w:t>促进</w:t>
      </w:r>
      <w:r>
        <w:rPr>
          <w:rFonts w:hint="eastAsia" w:ascii="楷体" w:hAnsi="楷体" w:eastAsia="楷体" w:cs="楷体"/>
          <w:sz w:val="32"/>
          <w:szCs w:val="32"/>
        </w:rPr>
        <w:t>作用，激发了学生的学习兴趣，提高了教学质量。</w:t>
      </w:r>
      <w:r>
        <w:rPr>
          <w:rFonts w:hint="eastAsia" w:ascii="楷体" w:hAnsi="楷体" w:eastAsia="楷体" w:cs="楷体"/>
          <w:sz w:val="32"/>
          <w:szCs w:val="32"/>
          <w:lang w:val="en-US" w:eastAsia="zh-CN"/>
        </w:rPr>
        <w:t>同时，也可为其他针对专升本学生的课程教学改革提供参考。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32"/>
          <w:szCs w:val="32"/>
        </w:rPr>
      </w:pPr>
      <w:r>
        <w:rPr>
          <w:rFonts w:hint="eastAsia" w:ascii="楷体" w:hAnsi="楷体" w:eastAsia="楷体" w:cs="楷体"/>
          <w:b/>
          <w:bCs/>
          <w:sz w:val="32"/>
          <w:szCs w:val="32"/>
          <w:lang w:val="en-US" w:eastAsia="zh-CN"/>
        </w:rPr>
        <w:t>关键词</w:t>
      </w:r>
      <w:r>
        <w:rPr>
          <w:rFonts w:hint="eastAsia" w:ascii="楷体" w:hAnsi="楷体" w:eastAsia="楷体" w:cs="楷体"/>
          <w:b/>
          <w:bCs/>
          <w:sz w:val="32"/>
          <w:szCs w:val="32"/>
          <w:lang w:val="en-US" w:eastAsia="zh-CN"/>
        </w:rPr>
        <w:t>：</w:t>
      </w:r>
      <w:r>
        <w:rPr>
          <w:rFonts w:hint="eastAsia" w:ascii="楷体" w:hAnsi="楷体" w:eastAsia="楷体" w:cs="楷体"/>
          <w:sz w:val="32"/>
          <w:szCs w:val="32"/>
        </w:rPr>
        <w:t>专升本；病原生物与免疫学；药物分析；教学改革</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32"/>
          <w:szCs w:val="32"/>
        </w:rPr>
      </w:pPr>
      <w:r>
        <w:rPr>
          <w:rFonts w:hint="eastAsia" w:ascii="宋体" w:hAnsi="宋体" w:eastAsia="宋体" w:cs="宋体"/>
          <w:sz w:val="32"/>
          <w:szCs w:val="32"/>
        </w:rPr>
        <w:t>专升本教育是高层次的学历教育，也为后期学生的继续深造提供了一个平台</w:t>
      </w:r>
      <w:r>
        <w:rPr>
          <w:rFonts w:hint="eastAsia" w:ascii="宋体" w:hAnsi="宋体" w:eastAsia="宋体" w:cs="宋体"/>
          <w:sz w:val="32"/>
          <w:szCs w:val="32"/>
          <w:vertAlign w:val="superscript"/>
        </w:rPr>
        <w:t>[</w:t>
      </w:r>
      <w:r>
        <w:rPr>
          <w:rFonts w:hint="eastAsia" w:ascii="宋体" w:hAnsi="宋体" w:eastAsia="宋体" w:cs="宋体"/>
          <w:sz w:val="32"/>
          <w:szCs w:val="32"/>
          <w:vertAlign w:val="superscript"/>
        </w:rPr>
        <w:t>1]</w:t>
      </w:r>
      <w:r>
        <w:rPr>
          <w:rFonts w:hint="eastAsia" w:ascii="宋体" w:hAnsi="宋体" w:eastAsia="宋体" w:cs="宋体"/>
          <w:sz w:val="32"/>
          <w:szCs w:val="32"/>
        </w:rPr>
        <w:t>。</w:t>
      </w:r>
      <w:r>
        <w:rPr>
          <w:rFonts w:hint="eastAsia" w:ascii="宋体" w:hAnsi="宋体" w:eastAsia="宋体" w:cs="宋体"/>
          <w:sz w:val="32"/>
          <w:szCs w:val="32"/>
          <w:lang w:val="en-US" w:eastAsia="zh-CN"/>
        </w:rPr>
        <w:t>但专升本学生是一个特殊的群体，专科及本科学生的教育方式并不适合直接套用在专升本学生身上</w:t>
      </w:r>
      <w:r>
        <w:rPr>
          <w:rFonts w:hint="eastAsia" w:ascii="宋体" w:hAnsi="宋体" w:eastAsia="宋体" w:cs="宋体"/>
          <w:sz w:val="32"/>
          <w:szCs w:val="32"/>
          <w:vertAlign w:val="superscript"/>
          <w:lang w:val="en-US" w:eastAsia="zh-CN"/>
        </w:rPr>
        <w:t>[2,3]</w:t>
      </w:r>
      <w:r>
        <w:rPr>
          <w:rFonts w:hint="eastAsia" w:ascii="宋体" w:hAnsi="宋体" w:eastAsia="宋体" w:cs="宋体"/>
          <w:sz w:val="32"/>
          <w:szCs w:val="32"/>
          <w:lang w:val="en-US" w:eastAsia="zh-CN"/>
        </w:rPr>
        <w:t>。因此，学校对专升本学生的学习应有独特的教育教学方法。</w:t>
      </w:r>
      <w:r>
        <w:rPr>
          <w:rFonts w:hint="eastAsia" w:ascii="宋体" w:hAnsi="宋体" w:eastAsia="宋体" w:cs="宋体"/>
          <w:sz w:val="32"/>
          <w:szCs w:val="32"/>
        </w:rPr>
        <w:t>因为学生大专和本科阶段的学习都属于专业学习，课程设置和课程内容的重复在所难免。但如何体现不同层次教学的差异，获得满意的学习效果，是专升本教学中需要重点考虑的问题。</w:t>
      </w:r>
      <w:r>
        <w:rPr>
          <w:rFonts w:hint="eastAsia" w:ascii="宋体" w:hAnsi="宋体" w:eastAsia="宋体" w:cs="宋体"/>
          <w:sz w:val="32"/>
          <w:szCs w:val="32"/>
          <w:lang w:val="en-US" w:eastAsia="zh-CN"/>
        </w:rPr>
        <w:t>刘敏等采用了闭环模块化教学模式对护理专升本学生进行培养，有助于提高学生的护理技能等核心能力</w:t>
      </w:r>
      <w:r>
        <w:rPr>
          <w:rFonts w:hint="eastAsia" w:ascii="宋体" w:hAnsi="宋体" w:eastAsia="宋体" w:cs="宋体"/>
          <w:sz w:val="32"/>
          <w:szCs w:val="32"/>
          <w:vertAlign w:val="superscript"/>
          <w:lang w:val="en-US" w:eastAsia="zh-CN"/>
        </w:rPr>
        <w:t>[4]</w:t>
      </w:r>
      <w:r>
        <w:rPr>
          <w:rFonts w:hint="eastAsia" w:ascii="宋体" w:hAnsi="宋体" w:eastAsia="宋体" w:cs="宋体"/>
          <w:sz w:val="32"/>
          <w:szCs w:val="32"/>
          <w:lang w:val="en-US" w:eastAsia="zh-CN"/>
        </w:rPr>
        <w:t>。多项研究对专升本学生的课程教学改革进行了分析，研究结果均表明，根据专升本学生专业特点，应</w:t>
      </w:r>
      <w:r>
        <w:rPr>
          <w:rFonts w:hint="eastAsia" w:ascii="宋体" w:hAnsi="宋体" w:eastAsia="宋体" w:cs="宋体"/>
          <w:sz w:val="32"/>
          <w:szCs w:val="32"/>
          <w:lang w:val="en-US" w:eastAsia="zh-CN"/>
        </w:rPr>
        <w:t>用创新型的教</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2336" behindDoc="1" locked="0" layoutInCell="1" allowOverlap="1">
                <wp:simplePos x="0" y="0"/>
                <wp:positionH relativeFrom="column">
                  <wp:posOffset>38735</wp:posOffset>
                </wp:positionH>
                <wp:positionV relativeFrom="paragraph">
                  <wp:posOffset>148590</wp:posOffset>
                </wp:positionV>
                <wp:extent cx="2030095" cy="4445"/>
                <wp:effectExtent l="0" t="0" r="27940" b="33655"/>
                <wp:wrapTight wrapText="bothSides">
                  <wp:wrapPolygon>
                    <wp:start x="0" y="0"/>
                    <wp:lineTo x="0" y="92571"/>
                    <wp:lineTo x="21695" y="92571"/>
                    <wp:lineTo x="21695" y="0"/>
                    <wp:lineTo x="0" y="0"/>
                  </wp:wrapPolygon>
                </wp:wrapTight>
                <wp:docPr id="4" name="直接连接符 4"/>
                <wp:cNvGraphicFramePr/>
                <a:graphic xmlns:a="http://schemas.openxmlformats.org/drawingml/2006/main">
                  <a:graphicData uri="http://schemas.microsoft.com/office/word/2010/wordprocessingShape">
                    <wps:wsp>
                      <wps:cNvCnPr/>
                      <wps:spPr>
                        <a:xfrm>
                          <a:off x="0" y="0"/>
                          <a:ext cx="2029968" cy="45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5pt;margin-top:11.7pt;height:0.35pt;width:159.85pt;mso-wrap-distance-left:9pt;mso-wrap-distance-right:9pt;z-index:-251654144;mso-width-relative:page;mso-height-relative:page;" filled="f" stroked="t" coordsize="21600,21600" wrapcoords="0 0 0 92571 21695 92571 21695 0 0 0" o:gfxdata="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bFIk1gAA&#10;AAcBAAAPAAAAAAAAAAEAIAAAACIAAABkcnMvZG93bnJldi54bWxQSwECFAAUAAAACACHTuJAVQ4B&#10;hOcBAAC0AwAADgAAAAAAAAABACAAAAAlAQAAZHJzL2Uyb0RvYy54bWxQSwUGAAAAAAYABgBZAQAA&#10;fgUAAAAA&#10;">
                <v:fill on="f" focussize="0,0"/>
                <v:stroke weight="0.5pt" color="#000000 [3213]" miterlimit="8" joinstyle="miter"/>
                <v:imagedata o:title=""/>
                <o:lock v:ext="edit" aspectratio="f"/>
                <w10:wrap type="tight"/>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w:t>
      </w:r>
      <w:r>
        <w:rPr>
          <w:rFonts w:hint="eastAsia" w:ascii="楷体" w:hAnsi="楷体" w:eastAsia="楷体" w:cs="楷体"/>
          <w:b/>
          <w:bCs/>
          <w:sz w:val="32"/>
          <w:szCs w:val="32"/>
          <w:lang w:val="en-US" w:eastAsia="zh-CN"/>
        </w:rPr>
        <w:t>基金项目</w:t>
      </w:r>
      <w:r>
        <w:rPr>
          <w:rFonts w:hint="eastAsia" w:ascii="楷体" w:hAnsi="楷体" w:eastAsia="楷体" w:cs="楷体"/>
          <w:b/>
          <w:bCs/>
          <w:sz w:val="32"/>
          <w:szCs w:val="32"/>
          <w:lang w:val="en-US" w:eastAsia="zh-CN"/>
        </w:rPr>
        <w:t>]</w:t>
      </w:r>
      <w:r>
        <w:rPr>
          <w:rFonts w:hint="eastAsia" w:ascii="楷体" w:hAnsi="楷体" w:eastAsia="楷体" w:cs="楷体"/>
          <w:b w:val="0"/>
          <w:bCs w:val="0"/>
          <w:sz w:val="32"/>
          <w:szCs w:val="32"/>
          <w:lang w:val="en-US" w:eastAsia="zh-CN"/>
        </w:rPr>
        <w:t>2023年度重庆市教育评估研究会课题“提高管理学类课程过程性考核质量的方法设计与优化”（PJY2023281）；2023年度重庆医药高等</w:t>
      </w:r>
      <w:r>
        <w:rPr>
          <w:rFonts w:hint="eastAsia" w:ascii="楷体" w:hAnsi="楷体" w:eastAsia="楷体" w:cs="楷体"/>
          <w:b w:val="0"/>
          <w:bCs w:val="0"/>
          <w:sz w:val="32"/>
          <w:szCs w:val="32"/>
          <w:lang w:val="en-US" w:eastAsia="zh-CN"/>
        </w:rPr>
        <w:t>专科学校教学改革项目“国家标准为导向的MES教学模式探索-以微生物学检验技术课程为例”（CQYGZJG2321）。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楷体" w:hAnsi="楷体" w:eastAsia="楷体" w:cs="楷体"/>
          <w:b w:val="0"/>
          <w:bCs w:val="0"/>
          <w:sz w:val="32"/>
          <w:szCs w:val="32"/>
        </w:rPr>
      </w:pPr>
      <w:r>
        <w:rPr>
          <w:rFonts w:hint="eastAsia" w:ascii="楷体" w:hAnsi="楷体" w:eastAsia="楷体" w:cs="楷体"/>
          <w:b/>
          <w:bCs/>
          <w:sz w:val="32"/>
          <w:szCs w:val="32"/>
          <w:lang w:val="en-US" w:eastAsia="zh-CN"/>
        </w:rPr>
        <w:t>[作者简介]</w:t>
      </w:r>
      <w:r>
        <w:rPr>
          <w:rFonts w:hint="eastAsia" w:ascii="楷体" w:hAnsi="楷体" w:eastAsia="楷体" w:cs="楷体"/>
          <w:b w:val="0"/>
          <w:bCs w:val="0"/>
          <w:sz w:val="32"/>
          <w:szCs w:val="32"/>
          <w:lang w:val="en-US" w:eastAsia="zh-CN"/>
        </w:rPr>
        <w:t>王晓英（1983-），女，重庆人，</w:t>
      </w:r>
      <w:r>
        <w:rPr>
          <w:rFonts w:hint="eastAsia" w:ascii="楷体" w:hAnsi="楷体" w:eastAsia="楷体" w:cs="楷体"/>
          <w:b w:val="0"/>
          <w:bCs w:val="0"/>
          <w:sz w:val="32"/>
          <w:szCs w:val="32"/>
          <w:lang w:val="en-US" w:eastAsia="zh-CN"/>
        </w:rPr>
        <w:t>理学博士，</w:t>
      </w:r>
      <w:r>
        <w:rPr>
          <w:rFonts w:hint="eastAsia" w:ascii="楷体" w:hAnsi="楷体" w:eastAsia="楷体" w:cs="楷体"/>
          <w:b w:val="0"/>
          <w:bCs w:val="0"/>
          <w:sz w:val="32"/>
          <w:szCs w:val="32"/>
          <w:lang w:val="en-US" w:eastAsia="zh-CN"/>
        </w:rPr>
        <w:t>重庆医药高等专科学校，讲师，主要从事微生物相关课程的教学与教改研究；郑露（1984-），女，重庆人，</w:t>
      </w:r>
      <w:r>
        <w:rPr>
          <w:rFonts w:hint="eastAsia" w:ascii="楷体" w:hAnsi="楷体" w:eastAsia="楷体" w:cs="楷体"/>
          <w:b w:val="0"/>
          <w:bCs w:val="0"/>
          <w:sz w:val="32"/>
          <w:szCs w:val="32"/>
          <w:lang w:val="en-US" w:eastAsia="zh-CN"/>
        </w:rPr>
        <w:t>医学硕士，</w:t>
      </w:r>
      <w:r>
        <w:rPr>
          <w:rFonts w:hint="eastAsia" w:ascii="楷体" w:hAnsi="楷体" w:eastAsia="楷体" w:cs="楷体"/>
          <w:b w:val="0"/>
          <w:bCs w:val="0"/>
          <w:sz w:val="32"/>
          <w:szCs w:val="32"/>
          <w:lang w:val="en-US" w:eastAsia="zh-CN"/>
        </w:rPr>
        <w:t>重庆医药高等专科学校，讲师，主要</w:t>
      </w:r>
      <w:r>
        <w:rPr>
          <w:rFonts w:hint="eastAsia" w:ascii="楷体" w:hAnsi="楷体" w:eastAsia="楷体" w:cs="楷体"/>
          <w:b w:val="0"/>
          <w:bCs w:val="0"/>
          <w:sz w:val="32"/>
          <w:szCs w:val="32"/>
          <w:lang w:val="en-US" w:eastAsia="zh-CN"/>
        </w:rPr>
        <w:t>从事微生物相关课程的教学与教改研究；宫兆淼（1985-），重庆人，管理学硕士，重庆医药高等专科学校，讲师(通信作者)，</w:t>
      </w:r>
      <w:r>
        <w:rPr>
          <w:rFonts w:hint="eastAsia" w:ascii="楷体" w:hAnsi="楷体" w:eastAsia="楷体" w:cs="楷体"/>
          <w:b w:val="0"/>
          <w:bCs w:val="0"/>
          <w:sz w:val="32"/>
          <w:szCs w:val="32"/>
          <w:lang w:val="en-US" w:eastAsia="zh-CN"/>
        </w:rPr>
        <w:t>主要从事药品管理营销等相关课程的教学与教改研究。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lang w:val="en-US" w:eastAsia="zh-CN"/>
        </w:rPr>
      </w:pPr>
      <w:r>
        <w:rPr>
          <w:rFonts w:hint="eastAsia" w:ascii="宋体" w:hAnsi="宋体" w:eastAsia="宋体" w:cs="宋体"/>
          <w:sz w:val="32"/>
          <w:szCs w:val="32"/>
          <w:lang w:val="en-US" w:eastAsia="zh-CN"/>
        </w:rPr>
        <w:t>学方法</w:t>
      </w:r>
      <w:r>
        <w:rPr>
          <w:rFonts w:hint="eastAsia" w:ascii="宋体" w:hAnsi="宋体" w:eastAsia="宋体" w:cs="宋体"/>
          <w:sz w:val="32"/>
          <w:szCs w:val="32"/>
          <w:lang w:val="en-US" w:eastAsia="zh-CN"/>
        </w:rPr>
        <w:t>有助于提高学生的核心能力</w:t>
      </w:r>
      <w:r>
        <w:rPr>
          <w:rFonts w:hint="eastAsia" w:ascii="宋体" w:hAnsi="宋体" w:eastAsia="宋体" w:cs="宋体"/>
          <w:sz w:val="32"/>
          <w:szCs w:val="32"/>
          <w:vertAlign w:val="superscript"/>
          <w:lang w:val="en-US" w:eastAsia="zh-CN"/>
        </w:rPr>
        <w:t>[5-8]</w:t>
      </w:r>
      <w:r>
        <w:rPr>
          <w:rFonts w:hint="eastAsia" w:ascii="宋体" w:hAnsi="宋体" w:eastAsia="宋体" w:cs="宋体"/>
          <w:sz w:val="32"/>
          <w:szCs w:val="32"/>
          <w:lang w:val="en-US" w:eastAsia="zh-CN"/>
        </w:rPr>
        <w:t>。因此，</w:t>
      </w:r>
      <w:r>
        <w:rPr>
          <w:rFonts w:hint="eastAsia" w:ascii="宋体" w:hAnsi="宋体" w:eastAsia="宋体" w:cs="宋体"/>
          <w:sz w:val="32"/>
          <w:szCs w:val="32"/>
        </w:rPr>
        <w:t>为了提高</w:t>
      </w:r>
      <w:r>
        <w:rPr>
          <w:rFonts w:hint="eastAsia" w:ascii="宋体" w:hAnsi="宋体" w:eastAsia="宋体" w:cs="宋体"/>
          <w:sz w:val="32"/>
          <w:szCs w:val="32"/>
          <w:lang w:val="en-US" w:eastAsia="zh-CN"/>
        </w:rPr>
        <w:t>本校专升本</w:t>
      </w:r>
      <w:r>
        <w:rPr>
          <w:rFonts w:hint="eastAsia" w:ascii="宋体" w:hAnsi="宋体" w:eastAsia="宋体" w:cs="宋体"/>
          <w:sz w:val="32"/>
          <w:szCs w:val="32"/>
        </w:rPr>
        <w:t>学生的学习积极性，避免重复教学和体现不同层次学历教育的培养目标，经过认真的调查分析，对2</w:t>
      </w:r>
      <w:r>
        <w:rPr>
          <w:rFonts w:hint="eastAsia" w:ascii="宋体" w:hAnsi="宋体" w:eastAsia="宋体" w:cs="宋体"/>
          <w:sz w:val="32"/>
          <w:szCs w:val="32"/>
        </w:rPr>
        <w:t>019</w:t>
      </w:r>
      <w:r>
        <w:rPr>
          <w:rFonts w:hint="eastAsia" w:ascii="宋体" w:hAnsi="宋体" w:eastAsia="宋体" w:cs="宋体"/>
          <w:sz w:val="32"/>
          <w:szCs w:val="32"/>
        </w:rPr>
        <w:t>级</w:t>
      </w:r>
      <w:r>
        <w:rPr>
          <w:rFonts w:hint="eastAsia" w:ascii="宋体" w:hAnsi="宋体" w:eastAsia="宋体" w:cs="宋体"/>
          <w:sz w:val="32"/>
          <w:szCs w:val="32"/>
          <w:lang w:eastAsia="zh-CN"/>
        </w:rPr>
        <w:t>、</w:t>
      </w:r>
      <w:r>
        <w:rPr>
          <w:rFonts w:hint="eastAsia" w:ascii="宋体" w:hAnsi="宋体" w:eastAsia="宋体" w:cs="宋体"/>
          <w:sz w:val="32"/>
          <w:szCs w:val="32"/>
        </w:rPr>
        <w:t>2</w:t>
      </w:r>
      <w:r>
        <w:rPr>
          <w:rFonts w:hint="eastAsia" w:ascii="宋体" w:hAnsi="宋体" w:eastAsia="宋体" w:cs="宋体"/>
          <w:sz w:val="32"/>
          <w:szCs w:val="32"/>
        </w:rPr>
        <w:t>020</w:t>
      </w:r>
      <w:r>
        <w:rPr>
          <w:rFonts w:hint="eastAsia" w:ascii="宋体" w:hAnsi="宋体" w:eastAsia="宋体" w:cs="宋体"/>
          <w:sz w:val="32"/>
          <w:szCs w:val="32"/>
        </w:rPr>
        <w:t>级</w:t>
      </w:r>
      <w:r>
        <w:rPr>
          <w:rFonts w:hint="eastAsia" w:ascii="宋体" w:hAnsi="宋体" w:eastAsia="宋体" w:cs="宋体"/>
          <w:sz w:val="32"/>
          <w:szCs w:val="32"/>
          <w:lang w:val="en-US" w:eastAsia="zh-CN"/>
        </w:rPr>
        <w:t>以及2021级</w:t>
      </w:r>
      <w:r>
        <w:rPr>
          <w:rFonts w:hint="eastAsia" w:ascii="宋体" w:hAnsi="宋体" w:eastAsia="宋体" w:cs="宋体"/>
          <w:sz w:val="32"/>
          <w:szCs w:val="32"/>
        </w:rPr>
        <w:t>药物分析专业</w:t>
      </w:r>
      <w:r>
        <w:rPr>
          <w:rFonts w:hint="eastAsia" w:ascii="宋体" w:hAnsi="宋体" w:eastAsia="宋体" w:cs="宋体"/>
          <w:sz w:val="32"/>
          <w:szCs w:val="32"/>
          <w:lang w:eastAsia="zh-CN"/>
        </w:rPr>
        <w:t>（</w:t>
      </w:r>
      <w:r>
        <w:rPr>
          <w:rFonts w:hint="eastAsia" w:ascii="宋体" w:hAnsi="宋体" w:eastAsia="宋体" w:cs="宋体"/>
          <w:sz w:val="32"/>
          <w:szCs w:val="32"/>
        </w:rPr>
        <w:t>专升本</w:t>
      </w:r>
      <w:r>
        <w:rPr>
          <w:rFonts w:hint="eastAsia" w:ascii="宋体" w:hAnsi="宋体" w:eastAsia="宋体" w:cs="宋体"/>
          <w:sz w:val="32"/>
          <w:szCs w:val="32"/>
          <w:lang w:eastAsia="zh-CN"/>
        </w:rPr>
        <w:t>）</w:t>
      </w:r>
      <w:r>
        <w:rPr>
          <w:rFonts w:hint="eastAsia" w:ascii="宋体" w:hAnsi="宋体" w:eastAsia="宋体" w:cs="宋体"/>
          <w:sz w:val="32"/>
          <w:szCs w:val="32"/>
        </w:rPr>
        <w:t>病原生物与免疫学课程的教学内容和教学方法进行了改革，以期增强学生</w:t>
      </w:r>
      <w:r>
        <w:rPr>
          <w:rFonts w:hint="eastAsia" w:ascii="宋体" w:hAnsi="宋体" w:eastAsia="宋体" w:cs="宋体"/>
          <w:sz w:val="32"/>
          <w:szCs w:val="32"/>
          <w:lang w:val="en-US" w:eastAsia="zh-CN"/>
        </w:rPr>
        <w:t>对知识的记忆、分析以及</w:t>
      </w:r>
      <w:r>
        <w:rPr>
          <w:rFonts w:hint="eastAsia" w:ascii="宋体" w:hAnsi="宋体" w:eastAsia="宋体" w:cs="宋体"/>
          <w:sz w:val="32"/>
          <w:szCs w:val="32"/>
        </w:rPr>
        <w:t>自主学习的能力，</w:t>
      </w:r>
      <w:r>
        <w:rPr>
          <w:rFonts w:hint="eastAsia" w:ascii="宋体" w:hAnsi="宋体" w:eastAsia="宋体" w:cs="宋体"/>
          <w:sz w:val="32"/>
          <w:szCs w:val="32"/>
          <w:lang w:val="en-US" w:eastAsia="zh-CN"/>
        </w:rPr>
        <w:t>也</w:t>
      </w:r>
      <w:r>
        <w:rPr>
          <w:rFonts w:hint="eastAsia" w:ascii="宋体" w:hAnsi="宋体" w:eastAsia="宋体" w:cs="宋体"/>
          <w:sz w:val="32"/>
          <w:szCs w:val="32"/>
        </w:rPr>
        <w:t>为</w:t>
      </w:r>
      <w:r>
        <w:rPr>
          <w:rFonts w:hint="eastAsia" w:ascii="宋体" w:hAnsi="宋体" w:eastAsia="宋体" w:cs="宋体"/>
          <w:sz w:val="32"/>
          <w:szCs w:val="32"/>
          <w:lang w:val="en-US" w:eastAsia="zh-CN"/>
        </w:rPr>
        <w:t>其他学科</w:t>
      </w:r>
      <w:r>
        <w:rPr>
          <w:rFonts w:hint="eastAsia" w:ascii="宋体" w:hAnsi="宋体" w:eastAsia="宋体" w:cs="宋体"/>
          <w:sz w:val="32"/>
          <w:szCs w:val="32"/>
        </w:rPr>
        <w:t>的学习</w:t>
      </w:r>
      <w:r>
        <w:rPr>
          <w:rFonts w:hint="eastAsia" w:ascii="宋体" w:hAnsi="宋体" w:eastAsia="宋体" w:cs="宋体"/>
          <w:sz w:val="32"/>
          <w:szCs w:val="32"/>
          <w:lang w:val="en-US" w:eastAsia="zh-CN"/>
        </w:rPr>
        <w:t>提供参考</w:t>
      </w:r>
      <w:r>
        <w:rPr>
          <w:rFonts w:hint="eastAsia" w:ascii="宋体" w:hAnsi="宋体" w:eastAsia="宋体" w:cs="宋体"/>
          <w:sz w:val="32"/>
          <w:szCs w:val="32"/>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药物分析专业专升本学生学情分析</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病原生物与免疫学课程是药学类专业的一门专业基础课。本课程主要讲授与医药有关的微生物的特点及防治，药品中病原微生物的污染及检测，免疫学与药学的相关性等，为学习有关专业课程以及利用微生物和免疫学技术从事与药学有关的工作奠定基础。在大专阶段的学习中，病原生物与免疫学课程也是重要的教学内容，所以专升本的学生对于课程的基本内容是熟悉的。为准确掌握药物分析专业专升本学生的学习基础及学习目的，便于后期进行教学内容及教学方法的改革，本人对</w:t>
      </w:r>
      <w:r>
        <w:rPr>
          <w:rFonts w:hint="eastAsia" w:ascii="宋体" w:hAnsi="宋体" w:eastAsia="宋体" w:cs="宋体"/>
          <w:sz w:val="32"/>
          <w:szCs w:val="32"/>
          <w:lang w:val="en-US" w:eastAsia="zh-CN"/>
        </w:rPr>
        <w:t>三</w:t>
      </w:r>
      <w:r>
        <w:rPr>
          <w:rFonts w:hint="eastAsia" w:ascii="宋体" w:hAnsi="宋体" w:eastAsia="宋体" w:cs="宋体"/>
          <w:sz w:val="32"/>
          <w:szCs w:val="32"/>
        </w:rPr>
        <w:t>届在我校药物分析专业专升本学习的学生进行了专科阶段学情的统计和分析。2</w:t>
      </w:r>
      <w:r>
        <w:rPr>
          <w:rFonts w:hint="eastAsia" w:ascii="宋体" w:hAnsi="宋体" w:eastAsia="宋体" w:cs="宋体"/>
          <w:sz w:val="32"/>
          <w:szCs w:val="32"/>
        </w:rPr>
        <w:t>019</w:t>
      </w:r>
      <w:r>
        <w:rPr>
          <w:rFonts w:hint="eastAsia" w:ascii="宋体" w:hAnsi="宋体" w:eastAsia="宋体" w:cs="宋体"/>
          <w:sz w:val="32"/>
          <w:szCs w:val="32"/>
        </w:rPr>
        <w:t>级药物分析专业（专升本）是我校联合第二师范学院招收的首届药物分析专业本科生。至今为止，2</w:t>
      </w:r>
      <w:r>
        <w:rPr>
          <w:rFonts w:hint="eastAsia" w:ascii="宋体" w:hAnsi="宋体" w:eastAsia="宋体" w:cs="宋体"/>
          <w:sz w:val="32"/>
          <w:szCs w:val="32"/>
        </w:rPr>
        <w:t>02</w:t>
      </w:r>
      <w:r>
        <w:rPr>
          <w:rFonts w:hint="eastAsia" w:ascii="宋体" w:hAnsi="宋体" w:eastAsia="宋体" w:cs="宋体"/>
          <w:sz w:val="32"/>
          <w:szCs w:val="32"/>
          <w:lang w:val="en-US" w:eastAsia="zh-CN"/>
        </w:rPr>
        <w:t>1</w:t>
      </w:r>
      <w:r>
        <w:rPr>
          <w:rFonts w:hint="eastAsia" w:ascii="宋体" w:hAnsi="宋体" w:eastAsia="宋体" w:cs="宋体"/>
          <w:sz w:val="32"/>
          <w:szCs w:val="32"/>
        </w:rPr>
        <w:t>级药物分析专业（专升本）已完成了本门课程的学习。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一</w:t>
      </w:r>
      <w:r>
        <w:rPr>
          <w:rFonts w:hint="eastAsia" w:ascii="宋体" w:hAnsi="宋体" w:eastAsia="宋体" w:cs="宋体"/>
          <w:b/>
          <w:bCs/>
          <w:sz w:val="32"/>
          <w:szCs w:val="32"/>
          <w:lang w:eastAsia="zh-CN"/>
        </w:rPr>
        <w:t>）</w:t>
      </w:r>
      <w:r>
        <w:rPr>
          <w:rFonts w:hint="eastAsia" w:ascii="宋体" w:hAnsi="宋体" w:eastAsia="宋体" w:cs="宋体"/>
          <w:b/>
          <w:bCs/>
          <w:sz w:val="32"/>
          <w:szCs w:val="32"/>
        </w:rPr>
        <w:t>学生来源及专科阶段所学专业分析</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药物分析专业（专升本）的招生均来自重庆地区医学类院校的药学相关专业。经调查，</w:t>
      </w:r>
      <w:r>
        <w:rPr>
          <w:rFonts w:hint="eastAsia" w:ascii="宋体" w:hAnsi="宋体" w:eastAsia="宋体" w:cs="宋体"/>
          <w:sz w:val="32"/>
          <w:szCs w:val="32"/>
          <w:lang w:val="en-US" w:eastAsia="zh-CN"/>
        </w:rPr>
        <w:t>三届</w:t>
      </w:r>
      <w:r>
        <w:rPr>
          <w:rFonts w:hint="eastAsia" w:ascii="宋体" w:hAnsi="宋体" w:eastAsia="宋体" w:cs="宋体"/>
          <w:sz w:val="32"/>
          <w:szCs w:val="32"/>
        </w:rPr>
        <w:t>药物分析专业（专升本）的学生主要来自于本校药学专业，占比</w:t>
      </w:r>
      <w:r>
        <w:rPr>
          <w:rFonts w:hint="eastAsia" w:ascii="宋体" w:hAnsi="宋体" w:eastAsia="宋体" w:cs="宋体"/>
          <w:sz w:val="32"/>
          <w:szCs w:val="32"/>
          <w:lang w:val="en-US" w:eastAsia="zh-CN"/>
        </w:rPr>
        <w:t>66</w:t>
      </w:r>
      <w:r>
        <w:rPr>
          <w:rFonts w:hint="eastAsia" w:ascii="宋体" w:hAnsi="宋体" w:eastAsia="宋体" w:cs="宋体"/>
          <w:sz w:val="32"/>
          <w:szCs w:val="32"/>
        </w:rPr>
        <w:t>%</w:t>
      </w:r>
      <w:r>
        <w:rPr>
          <w:rFonts w:hint="eastAsia" w:ascii="宋体" w:hAnsi="宋体" w:eastAsia="宋体" w:cs="宋体"/>
          <w:sz w:val="32"/>
          <w:szCs w:val="32"/>
        </w:rPr>
        <w:t>（</w:t>
      </w:r>
      <w:r>
        <w:rPr>
          <w:rFonts w:hint="eastAsia" w:ascii="宋体" w:hAnsi="宋体" w:eastAsia="宋体" w:cs="宋体"/>
          <w:sz w:val="32"/>
          <w:szCs w:val="32"/>
          <w:lang w:val="en-US" w:eastAsia="zh-CN"/>
        </w:rPr>
        <w:t>99</w:t>
      </w:r>
      <w:r>
        <w:rPr>
          <w:rFonts w:hint="eastAsia" w:ascii="宋体" w:hAnsi="宋体" w:eastAsia="宋体" w:cs="宋体"/>
          <w:sz w:val="32"/>
          <w:szCs w:val="32"/>
        </w:rPr>
        <w:t>/1</w:t>
      </w:r>
      <w:r>
        <w:rPr>
          <w:rFonts w:hint="eastAsia" w:ascii="宋体" w:hAnsi="宋体" w:eastAsia="宋体" w:cs="宋体"/>
          <w:sz w:val="32"/>
          <w:szCs w:val="32"/>
          <w:lang w:val="en-US" w:eastAsia="zh-CN"/>
        </w:rPr>
        <w:t>5</w:t>
      </w:r>
      <w:r>
        <w:rPr>
          <w:rFonts w:hint="eastAsia" w:ascii="宋体" w:hAnsi="宋体" w:eastAsia="宋体" w:cs="宋体"/>
          <w:sz w:val="32"/>
          <w:szCs w:val="32"/>
        </w:rPr>
        <w:t>0</w:t>
      </w:r>
      <w:r>
        <w:rPr>
          <w:rFonts w:hint="eastAsia" w:ascii="宋体" w:hAnsi="宋体" w:eastAsia="宋体" w:cs="宋体"/>
          <w:sz w:val="32"/>
          <w:szCs w:val="32"/>
        </w:rPr>
        <w:t>），其他学生（1</w:t>
      </w:r>
      <w:r>
        <w:rPr>
          <w:rFonts w:hint="eastAsia" w:ascii="宋体" w:hAnsi="宋体" w:eastAsia="宋体" w:cs="宋体"/>
          <w:sz w:val="32"/>
          <w:szCs w:val="32"/>
        </w:rPr>
        <w:t>8%</w:t>
      </w:r>
      <w:r>
        <w:rPr>
          <w:rFonts w:hint="eastAsia" w:ascii="宋体" w:hAnsi="宋体" w:eastAsia="宋体" w:cs="宋体"/>
          <w:sz w:val="32"/>
          <w:szCs w:val="32"/>
        </w:rPr>
        <w:t>）来自于本校或其他院校的药学相关专业。详细结果见表1。</w:t>
      </w:r>
      <w:r>
        <w:rPr>
          <w:rFonts w:hint="eastAsia" w:ascii="宋体" w:hAnsi="宋体" w:eastAsia="宋体" w:cs="宋体"/>
          <w:sz w:val="32"/>
          <w:szCs w:val="32"/>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表一 学生来源及专科阶段专业情况分析</w:t>
      </w:r>
    </w:p>
    <w:tbl>
      <w:tblPr>
        <w:tblStyle w:val="5"/>
        <w:tblW w:w="7933"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94"/>
        <w:gridCol w:w="1496"/>
        <w:gridCol w:w="1405"/>
        <w:gridCol w:w="1542"/>
        <w:gridCol w:w="199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c>
          <w:tcPr>
            <w:tcW w:w="1659" w:type="dxa"/>
            <w:vMerge w:val="restart"/>
            <w:tcBorders>
              <w:top w:val="single" w:color="auto" w:sz="12"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年级</w:t>
            </w:r>
          </w:p>
        </w:tc>
        <w:tc>
          <w:tcPr>
            <w:tcW w:w="2594" w:type="dxa"/>
            <w:gridSpan w:val="2"/>
            <w:tcBorders>
              <w:top w:val="single" w:color="auto" w:sz="12" w:space="0"/>
              <w:bottom w:val="nil"/>
            </w:tcBorders>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学生来源</w:t>
            </w:r>
          </w:p>
        </w:tc>
        <w:tc>
          <w:tcPr>
            <w:tcW w:w="3680" w:type="dxa"/>
            <w:gridSpan w:val="2"/>
            <w:tcBorders>
              <w:top w:val="single" w:color="auto" w:sz="12" w:space="0"/>
              <w:bottom w:val="nil"/>
            </w:tcBorders>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专科阶段所学专业</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9" w:type="dxa"/>
            <w:vMerge w:val="continue"/>
            <w:tcBorders>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p>
        </w:tc>
        <w:tc>
          <w:tcPr>
            <w:tcW w:w="1171"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本校(%</w:t>
            </w:r>
            <w:r>
              <w:rPr>
                <w:rFonts w:hint="eastAsia" w:ascii="宋体" w:hAnsi="宋体" w:eastAsia="宋体" w:cs="宋体"/>
                <w:sz w:val="32"/>
                <w:szCs w:val="32"/>
              </w:rPr>
              <w:t>)</w:t>
            </w:r>
          </w:p>
        </w:tc>
        <w:tc>
          <w:tcPr>
            <w:tcW w:w="1423"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其他学校(%</w:t>
            </w:r>
            <w:r>
              <w:rPr>
                <w:rFonts w:hint="eastAsia" w:ascii="宋体" w:hAnsi="宋体" w:eastAsia="宋体" w:cs="宋体"/>
                <w:sz w:val="32"/>
                <w:szCs w:val="32"/>
              </w:rPr>
              <w:t>)</w:t>
            </w:r>
          </w:p>
        </w:tc>
        <w:tc>
          <w:tcPr>
            <w:tcW w:w="1554"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药学专业(%</w:t>
            </w:r>
            <w:r>
              <w:rPr>
                <w:rFonts w:hint="eastAsia" w:ascii="宋体" w:hAnsi="宋体" w:eastAsia="宋体" w:cs="宋体"/>
                <w:sz w:val="32"/>
                <w:szCs w:val="32"/>
              </w:rPr>
              <w:t>)</w:t>
            </w:r>
          </w:p>
        </w:tc>
        <w:tc>
          <w:tcPr>
            <w:tcW w:w="2126"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其他药学相关专(%</w:t>
            </w:r>
            <w:r>
              <w:rPr>
                <w:rFonts w:hint="eastAsia" w:ascii="宋体" w:hAnsi="宋体" w:eastAsia="宋体" w:cs="宋体"/>
                <w:sz w:val="32"/>
                <w:szCs w:val="32"/>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9"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019</w:t>
            </w:r>
            <w:r>
              <w:rPr>
                <w:rFonts w:hint="eastAsia" w:ascii="宋体" w:hAnsi="宋体" w:eastAsia="宋体" w:cs="宋体"/>
                <w:sz w:val="32"/>
                <w:szCs w:val="32"/>
              </w:rPr>
              <w:t>级(5</w:t>
            </w:r>
            <w:r>
              <w:rPr>
                <w:rFonts w:hint="eastAsia" w:ascii="宋体" w:hAnsi="宋体" w:eastAsia="宋体" w:cs="宋体"/>
                <w:sz w:val="32"/>
                <w:szCs w:val="32"/>
              </w:rPr>
              <w:t>0</w:t>
            </w:r>
            <w:r>
              <w:rPr>
                <w:rFonts w:hint="eastAsia" w:ascii="宋体" w:hAnsi="宋体" w:eastAsia="宋体" w:cs="宋体"/>
                <w:sz w:val="32"/>
                <w:szCs w:val="32"/>
              </w:rPr>
              <w:t>人</w:t>
            </w:r>
            <w:r>
              <w:rPr>
                <w:rFonts w:hint="eastAsia" w:ascii="宋体" w:hAnsi="宋体" w:eastAsia="宋体" w:cs="宋体"/>
                <w:sz w:val="32"/>
                <w:szCs w:val="32"/>
              </w:rPr>
              <w:t>)</w:t>
            </w:r>
          </w:p>
        </w:tc>
        <w:tc>
          <w:tcPr>
            <w:tcW w:w="1171"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7(94.0)</w:t>
            </w:r>
          </w:p>
        </w:tc>
        <w:tc>
          <w:tcPr>
            <w:tcW w:w="1423"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(6.0)</w:t>
            </w:r>
          </w:p>
        </w:tc>
        <w:tc>
          <w:tcPr>
            <w:tcW w:w="1554"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35</w:t>
            </w:r>
            <w:r>
              <w:rPr>
                <w:rFonts w:hint="eastAsia" w:ascii="宋体" w:hAnsi="宋体" w:eastAsia="宋体" w:cs="宋体"/>
                <w:sz w:val="32"/>
                <w:szCs w:val="32"/>
              </w:rPr>
              <w:t>(</w:t>
            </w:r>
            <w:r>
              <w:rPr>
                <w:rFonts w:hint="eastAsia" w:ascii="宋体" w:hAnsi="宋体" w:eastAsia="宋体" w:cs="宋体"/>
                <w:sz w:val="32"/>
                <w:szCs w:val="32"/>
                <w:lang w:val="en-US" w:eastAsia="zh-CN"/>
              </w:rPr>
              <w:t>7</w:t>
            </w:r>
            <w:r>
              <w:rPr>
                <w:rFonts w:hint="eastAsia" w:ascii="宋体" w:hAnsi="宋体" w:eastAsia="宋体" w:cs="宋体"/>
                <w:sz w:val="32"/>
                <w:szCs w:val="32"/>
              </w:rPr>
              <w:t>0.0)</w:t>
            </w:r>
          </w:p>
        </w:tc>
        <w:tc>
          <w:tcPr>
            <w:tcW w:w="2126"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5</w:t>
            </w:r>
            <w:r>
              <w:rPr>
                <w:rFonts w:hint="eastAsia" w:ascii="宋体" w:hAnsi="宋体" w:eastAsia="宋体" w:cs="宋体"/>
                <w:sz w:val="32"/>
                <w:szCs w:val="32"/>
              </w:rPr>
              <w:t>(</w:t>
            </w:r>
            <w:r>
              <w:rPr>
                <w:rFonts w:hint="eastAsia" w:ascii="宋体" w:hAnsi="宋体" w:eastAsia="宋体" w:cs="宋体"/>
                <w:sz w:val="32"/>
                <w:szCs w:val="32"/>
                <w:lang w:val="en-US" w:eastAsia="zh-CN"/>
              </w:rPr>
              <w:t>3</w:t>
            </w:r>
            <w:r>
              <w:rPr>
                <w:rFonts w:hint="eastAsia" w:ascii="宋体" w:hAnsi="宋体" w:eastAsia="宋体" w:cs="宋体"/>
                <w:sz w:val="32"/>
                <w:szCs w:val="32"/>
              </w:rPr>
              <w:t>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020</w:t>
            </w:r>
            <w:r>
              <w:rPr>
                <w:rFonts w:hint="eastAsia" w:ascii="宋体" w:hAnsi="宋体" w:eastAsia="宋体" w:cs="宋体"/>
                <w:sz w:val="32"/>
                <w:szCs w:val="32"/>
              </w:rPr>
              <w:t>级(5</w:t>
            </w:r>
            <w:r>
              <w:rPr>
                <w:rFonts w:hint="eastAsia" w:ascii="宋体" w:hAnsi="宋体" w:eastAsia="宋体" w:cs="宋体"/>
                <w:sz w:val="32"/>
                <w:szCs w:val="32"/>
              </w:rPr>
              <w:t>0</w:t>
            </w:r>
            <w:r>
              <w:rPr>
                <w:rFonts w:hint="eastAsia" w:ascii="宋体" w:hAnsi="宋体" w:eastAsia="宋体" w:cs="宋体"/>
                <w:sz w:val="32"/>
                <w:szCs w:val="32"/>
              </w:rPr>
              <w:t>人</w:t>
            </w:r>
            <w:r>
              <w:rPr>
                <w:rFonts w:hint="eastAsia" w:ascii="宋体" w:hAnsi="宋体" w:eastAsia="宋体" w:cs="宋体"/>
                <w:sz w:val="32"/>
                <w:szCs w:val="32"/>
              </w:rPr>
              <w:t>)</w:t>
            </w:r>
          </w:p>
        </w:tc>
        <w:tc>
          <w:tcPr>
            <w:tcW w:w="117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6(92.0)</w:t>
            </w:r>
          </w:p>
        </w:tc>
        <w:tc>
          <w:tcPr>
            <w:tcW w:w="142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(8.0)</w:t>
            </w:r>
          </w:p>
        </w:tc>
        <w:tc>
          <w:tcPr>
            <w:tcW w:w="1554"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33</w:t>
            </w:r>
            <w:r>
              <w:rPr>
                <w:rFonts w:hint="eastAsia" w:ascii="宋体" w:hAnsi="宋体" w:eastAsia="宋体" w:cs="宋体"/>
                <w:sz w:val="32"/>
                <w:szCs w:val="32"/>
              </w:rPr>
              <w:t>(</w:t>
            </w:r>
            <w:r>
              <w:rPr>
                <w:rFonts w:hint="eastAsia" w:ascii="宋体" w:hAnsi="宋体" w:eastAsia="宋体" w:cs="宋体"/>
                <w:sz w:val="32"/>
                <w:szCs w:val="32"/>
                <w:lang w:val="en-US" w:eastAsia="zh-CN"/>
              </w:rPr>
              <w:t>66</w:t>
            </w:r>
            <w:r>
              <w:rPr>
                <w:rFonts w:hint="eastAsia" w:ascii="宋体" w:hAnsi="宋体" w:eastAsia="宋体" w:cs="宋体"/>
                <w:sz w:val="32"/>
                <w:szCs w:val="32"/>
              </w:rPr>
              <w:t>.0)</w:t>
            </w:r>
          </w:p>
        </w:tc>
        <w:tc>
          <w:tcPr>
            <w:tcW w:w="212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17</w:t>
            </w:r>
            <w:r>
              <w:rPr>
                <w:rFonts w:hint="eastAsia" w:ascii="宋体" w:hAnsi="宋体" w:eastAsia="宋体" w:cs="宋体"/>
                <w:sz w:val="32"/>
                <w:szCs w:val="32"/>
              </w:rPr>
              <w:t>(</w:t>
            </w:r>
            <w:r>
              <w:rPr>
                <w:rFonts w:hint="eastAsia" w:ascii="宋体" w:hAnsi="宋体" w:eastAsia="宋体" w:cs="宋体"/>
                <w:sz w:val="32"/>
                <w:szCs w:val="32"/>
                <w:lang w:val="en-US" w:eastAsia="zh-CN"/>
              </w:rPr>
              <w:t>34</w:t>
            </w:r>
            <w:r>
              <w:rPr>
                <w:rFonts w:hint="eastAsia" w:ascii="宋体" w:hAnsi="宋体" w:eastAsia="宋体" w:cs="宋体"/>
                <w:sz w:val="32"/>
                <w:szCs w:val="32"/>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02</w:t>
            </w:r>
            <w:r>
              <w:rPr>
                <w:rFonts w:hint="eastAsia" w:ascii="宋体" w:hAnsi="宋体" w:eastAsia="宋体" w:cs="宋体"/>
                <w:sz w:val="32"/>
                <w:szCs w:val="32"/>
                <w:lang w:val="en-US" w:eastAsia="zh-CN"/>
              </w:rPr>
              <w:t>1</w:t>
            </w:r>
            <w:r>
              <w:rPr>
                <w:rFonts w:hint="eastAsia" w:ascii="宋体" w:hAnsi="宋体" w:eastAsia="宋体" w:cs="宋体"/>
                <w:sz w:val="32"/>
                <w:szCs w:val="32"/>
              </w:rPr>
              <w:t>级(5</w:t>
            </w:r>
            <w:r>
              <w:rPr>
                <w:rFonts w:hint="eastAsia" w:ascii="宋体" w:hAnsi="宋体" w:eastAsia="宋体" w:cs="宋体"/>
                <w:sz w:val="32"/>
                <w:szCs w:val="32"/>
              </w:rPr>
              <w:t>0</w:t>
            </w:r>
            <w:r>
              <w:rPr>
                <w:rFonts w:hint="eastAsia" w:ascii="宋体" w:hAnsi="宋体" w:eastAsia="宋体" w:cs="宋体"/>
                <w:sz w:val="32"/>
                <w:szCs w:val="32"/>
              </w:rPr>
              <w:t>人</w:t>
            </w:r>
            <w:r>
              <w:rPr>
                <w:rFonts w:hint="eastAsia" w:ascii="宋体" w:hAnsi="宋体" w:eastAsia="宋体" w:cs="宋体"/>
                <w:sz w:val="32"/>
                <w:szCs w:val="32"/>
              </w:rPr>
              <w:t>)</w:t>
            </w:r>
          </w:p>
        </w:tc>
        <w:tc>
          <w:tcPr>
            <w:tcW w:w="117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45(90.0)</w:t>
            </w:r>
          </w:p>
        </w:tc>
        <w:tc>
          <w:tcPr>
            <w:tcW w:w="142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w:t>
            </w:r>
            <w:r>
              <w:rPr>
                <w:rFonts w:hint="eastAsia" w:ascii="宋体" w:hAnsi="宋体" w:eastAsia="宋体" w:cs="宋体"/>
                <w:sz w:val="32"/>
                <w:szCs w:val="32"/>
              </w:rPr>
              <w:t>(</w:t>
            </w:r>
            <w:r>
              <w:rPr>
                <w:rFonts w:hint="eastAsia" w:ascii="宋体" w:hAnsi="宋体" w:eastAsia="宋体" w:cs="宋体"/>
                <w:sz w:val="32"/>
                <w:szCs w:val="32"/>
                <w:lang w:val="en-US" w:eastAsia="zh-CN"/>
              </w:rPr>
              <w:t>10</w:t>
            </w:r>
            <w:r>
              <w:rPr>
                <w:rFonts w:hint="eastAsia" w:ascii="宋体" w:hAnsi="宋体" w:eastAsia="宋体" w:cs="宋体"/>
                <w:sz w:val="32"/>
                <w:szCs w:val="32"/>
              </w:rPr>
              <w:t>.0)</w:t>
            </w:r>
          </w:p>
        </w:tc>
        <w:tc>
          <w:tcPr>
            <w:tcW w:w="1554"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31</w:t>
            </w:r>
            <w:r>
              <w:rPr>
                <w:rFonts w:hint="eastAsia" w:ascii="宋体" w:hAnsi="宋体" w:eastAsia="宋体" w:cs="宋体"/>
                <w:sz w:val="32"/>
                <w:szCs w:val="32"/>
              </w:rPr>
              <w:t>(</w:t>
            </w:r>
            <w:r>
              <w:rPr>
                <w:rFonts w:hint="eastAsia" w:ascii="宋体" w:hAnsi="宋体" w:eastAsia="宋体" w:cs="宋体"/>
                <w:sz w:val="32"/>
                <w:szCs w:val="32"/>
                <w:lang w:val="en-US" w:eastAsia="zh-CN"/>
              </w:rPr>
              <w:t>62</w:t>
            </w:r>
            <w:r>
              <w:rPr>
                <w:rFonts w:hint="eastAsia" w:ascii="宋体" w:hAnsi="宋体" w:eastAsia="宋体" w:cs="宋体"/>
                <w:sz w:val="32"/>
                <w:szCs w:val="32"/>
              </w:rPr>
              <w:t>.0)</w:t>
            </w:r>
          </w:p>
        </w:tc>
        <w:tc>
          <w:tcPr>
            <w:tcW w:w="212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19(38.0)</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学生专科阶段病原生物与免疫学课程学习情况统计</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学生在专科阶段由于各校的定位不同，课程安排也不同</w:t>
      </w:r>
      <w:r>
        <w:rPr>
          <w:rFonts w:hint="eastAsia" w:ascii="宋体" w:hAnsi="宋体" w:eastAsia="宋体" w:cs="宋体"/>
          <w:sz w:val="32"/>
          <w:szCs w:val="32"/>
          <w:vertAlign w:val="superscript"/>
        </w:rPr>
        <w:t>[</w:t>
      </w:r>
      <w:r>
        <w:rPr>
          <w:rFonts w:hint="eastAsia" w:ascii="宋体" w:hAnsi="宋体" w:eastAsia="宋体" w:cs="宋体"/>
          <w:sz w:val="32"/>
          <w:szCs w:val="32"/>
          <w:vertAlign w:val="superscript"/>
          <w:lang w:val="en-US" w:eastAsia="zh-CN"/>
        </w:rPr>
        <w:t>9</w:t>
      </w:r>
      <w:r>
        <w:rPr>
          <w:rFonts w:hint="eastAsia" w:ascii="宋体" w:hAnsi="宋体" w:eastAsia="宋体" w:cs="宋体"/>
          <w:sz w:val="32"/>
          <w:szCs w:val="32"/>
          <w:vertAlign w:val="superscript"/>
        </w:rPr>
        <w:t>]</w:t>
      </w:r>
      <w:r>
        <w:rPr>
          <w:rFonts w:hint="eastAsia" w:ascii="宋体" w:hAnsi="宋体" w:eastAsia="宋体" w:cs="宋体"/>
          <w:sz w:val="32"/>
          <w:szCs w:val="32"/>
        </w:rPr>
        <w:t>，是否学习过本门课程将会对本门课程的后继学习有较大的影响。表2的调查结果显示，在三年的大专阶段学习过程中，约</w:t>
      </w:r>
      <w:r>
        <w:rPr>
          <w:rFonts w:hint="eastAsia" w:ascii="宋体" w:hAnsi="宋体" w:eastAsia="宋体" w:cs="宋体"/>
          <w:sz w:val="32"/>
          <w:szCs w:val="32"/>
        </w:rPr>
        <w:t>9</w:t>
      </w:r>
      <w:r>
        <w:rPr>
          <w:rFonts w:hint="eastAsia" w:ascii="宋体" w:hAnsi="宋体" w:eastAsia="宋体" w:cs="宋体"/>
          <w:sz w:val="32"/>
          <w:szCs w:val="32"/>
          <w:lang w:val="en-US" w:eastAsia="zh-CN"/>
        </w:rPr>
        <w:t>2</w:t>
      </w:r>
      <w:r>
        <w:rPr>
          <w:rFonts w:hint="eastAsia" w:ascii="宋体" w:hAnsi="宋体" w:eastAsia="宋体" w:cs="宋体"/>
          <w:sz w:val="32"/>
          <w:szCs w:val="32"/>
        </w:rPr>
        <w:t>%</w:t>
      </w:r>
      <w:r>
        <w:rPr>
          <w:rFonts w:hint="eastAsia" w:ascii="宋体" w:hAnsi="宋体" w:eastAsia="宋体" w:cs="宋体"/>
          <w:sz w:val="32"/>
          <w:szCs w:val="32"/>
        </w:rPr>
        <w:t>（</w:t>
      </w:r>
      <w:r>
        <w:rPr>
          <w:rFonts w:hint="eastAsia" w:ascii="宋体" w:hAnsi="宋体" w:eastAsia="宋体" w:cs="宋体"/>
          <w:sz w:val="32"/>
          <w:szCs w:val="32"/>
          <w:lang w:val="en-US" w:eastAsia="zh-CN"/>
        </w:rPr>
        <w:t>138</w:t>
      </w:r>
      <w:r>
        <w:rPr>
          <w:rFonts w:hint="eastAsia" w:ascii="宋体" w:hAnsi="宋体" w:eastAsia="宋体" w:cs="宋体"/>
          <w:sz w:val="32"/>
          <w:szCs w:val="32"/>
        </w:rPr>
        <w:t>/</w:t>
      </w:r>
      <w:r>
        <w:rPr>
          <w:rFonts w:hint="eastAsia" w:ascii="宋体" w:hAnsi="宋体" w:eastAsia="宋体" w:cs="宋体"/>
          <w:sz w:val="32"/>
          <w:szCs w:val="32"/>
        </w:rPr>
        <w:t>1</w:t>
      </w:r>
      <w:r>
        <w:rPr>
          <w:rFonts w:hint="eastAsia" w:ascii="宋体" w:hAnsi="宋体" w:eastAsia="宋体" w:cs="宋体"/>
          <w:sz w:val="32"/>
          <w:szCs w:val="32"/>
          <w:lang w:val="en-US" w:eastAsia="zh-CN"/>
        </w:rPr>
        <w:t>5</w:t>
      </w:r>
      <w:r>
        <w:rPr>
          <w:rFonts w:hint="eastAsia" w:ascii="宋体" w:hAnsi="宋体" w:eastAsia="宋体" w:cs="宋体"/>
          <w:sz w:val="32"/>
          <w:szCs w:val="32"/>
        </w:rPr>
        <w:t>0</w:t>
      </w:r>
      <w:r>
        <w:rPr>
          <w:rFonts w:hint="eastAsia" w:ascii="宋体" w:hAnsi="宋体" w:eastAsia="宋体" w:cs="宋体"/>
          <w:sz w:val="32"/>
          <w:szCs w:val="32"/>
        </w:rPr>
        <w:t>）的学生学习过病原生物与免疫学课程，仅</w:t>
      </w:r>
      <w:r>
        <w:rPr>
          <w:rFonts w:hint="eastAsia" w:ascii="宋体" w:hAnsi="宋体" w:eastAsia="宋体" w:cs="宋体"/>
          <w:sz w:val="32"/>
          <w:szCs w:val="32"/>
          <w:lang w:val="en-US" w:eastAsia="zh-CN"/>
        </w:rPr>
        <w:t>8</w:t>
      </w:r>
      <w:r>
        <w:rPr>
          <w:rFonts w:hint="eastAsia" w:ascii="宋体" w:hAnsi="宋体" w:eastAsia="宋体" w:cs="宋体"/>
          <w:sz w:val="32"/>
          <w:szCs w:val="32"/>
        </w:rPr>
        <w:t>%（</w:t>
      </w:r>
      <w:r>
        <w:rPr>
          <w:rFonts w:hint="eastAsia" w:ascii="宋体" w:hAnsi="宋体" w:eastAsia="宋体" w:cs="宋体"/>
          <w:sz w:val="32"/>
          <w:szCs w:val="32"/>
          <w:lang w:val="en-US" w:eastAsia="zh-CN"/>
        </w:rPr>
        <w:t>12</w:t>
      </w:r>
      <w:r>
        <w:rPr>
          <w:rFonts w:hint="eastAsia" w:ascii="宋体" w:hAnsi="宋体" w:eastAsia="宋体" w:cs="宋体"/>
          <w:sz w:val="32"/>
          <w:szCs w:val="32"/>
        </w:rPr>
        <w:t>/</w:t>
      </w:r>
      <w:r>
        <w:rPr>
          <w:rFonts w:hint="eastAsia" w:ascii="宋体" w:hAnsi="宋体" w:eastAsia="宋体" w:cs="宋体"/>
          <w:sz w:val="32"/>
          <w:szCs w:val="32"/>
        </w:rPr>
        <w:t>1</w:t>
      </w:r>
      <w:r>
        <w:rPr>
          <w:rFonts w:hint="eastAsia" w:ascii="宋体" w:hAnsi="宋体" w:eastAsia="宋体" w:cs="宋体"/>
          <w:sz w:val="32"/>
          <w:szCs w:val="32"/>
          <w:lang w:val="en-US" w:eastAsia="zh-CN"/>
        </w:rPr>
        <w:t>5</w:t>
      </w:r>
      <w:r>
        <w:rPr>
          <w:rFonts w:hint="eastAsia" w:ascii="宋体" w:hAnsi="宋体" w:eastAsia="宋体" w:cs="宋体"/>
          <w:sz w:val="32"/>
          <w:szCs w:val="32"/>
        </w:rPr>
        <w:t>0</w:t>
      </w:r>
      <w:r>
        <w:rPr>
          <w:rFonts w:hint="eastAsia" w:ascii="宋体" w:hAnsi="宋体" w:eastAsia="宋体" w:cs="宋体"/>
          <w:sz w:val="32"/>
          <w:szCs w:val="32"/>
        </w:rPr>
        <w:t>）的学生未学习过本门课程。</w:t>
      </w:r>
      <w:r>
        <w:rPr>
          <w:rFonts w:hint="eastAsia" w:ascii="宋体" w:hAnsi="宋体" w:eastAsia="宋体" w:cs="宋体"/>
          <w:sz w:val="32"/>
          <w:szCs w:val="32"/>
          <w:lang w:val="en-US" w:eastAsia="zh-CN"/>
        </w:rPr>
        <w:t>但药学相关专业对本门课程的学习内容安排是有差异的，主要有两种方式：1.</w:t>
      </w:r>
      <w:r>
        <w:rPr>
          <w:rFonts w:hint="eastAsia" w:ascii="宋体" w:hAnsi="宋体" w:eastAsia="宋体" w:cs="宋体"/>
          <w:sz w:val="32"/>
          <w:szCs w:val="32"/>
        </w:rPr>
        <w:t>课程安排</w:t>
      </w:r>
      <w:r>
        <w:rPr>
          <w:rFonts w:hint="eastAsia" w:ascii="宋体" w:hAnsi="宋体" w:eastAsia="宋体" w:cs="宋体"/>
          <w:sz w:val="32"/>
          <w:szCs w:val="32"/>
          <w:lang w:val="en-US" w:eastAsia="zh-CN"/>
        </w:rPr>
        <w:t>为</w:t>
      </w:r>
      <w:r>
        <w:rPr>
          <w:rFonts w:hint="eastAsia" w:ascii="宋体" w:hAnsi="宋体" w:eastAsia="宋体" w:cs="宋体"/>
          <w:sz w:val="32"/>
          <w:szCs w:val="32"/>
        </w:rPr>
        <w:t>一学期</w:t>
      </w:r>
      <w:r>
        <w:rPr>
          <w:rFonts w:hint="eastAsia" w:ascii="宋体" w:hAnsi="宋体" w:eastAsia="宋体" w:cs="宋体"/>
          <w:sz w:val="32"/>
          <w:szCs w:val="32"/>
          <w:lang w:val="en-US" w:eastAsia="zh-CN"/>
        </w:rPr>
        <w:t>，</w:t>
      </w:r>
      <w:r>
        <w:rPr>
          <w:rFonts w:hint="eastAsia" w:ascii="宋体" w:hAnsi="宋体" w:eastAsia="宋体" w:cs="宋体"/>
          <w:sz w:val="32"/>
          <w:szCs w:val="32"/>
        </w:rPr>
        <w:t>总学时5</w:t>
      </w:r>
      <w:r>
        <w:rPr>
          <w:rFonts w:hint="eastAsia" w:ascii="宋体" w:hAnsi="宋体" w:eastAsia="宋体" w:cs="宋体"/>
          <w:sz w:val="32"/>
          <w:szCs w:val="32"/>
        </w:rPr>
        <w:t>1</w:t>
      </w:r>
      <w:r>
        <w:rPr>
          <w:rFonts w:hint="eastAsia" w:ascii="宋体" w:hAnsi="宋体" w:eastAsia="宋体" w:cs="宋体"/>
          <w:sz w:val="32"/>
          <w:szCs w:val="32"/>
        </w:rPr>
        <w:t>学时，理论学时为4</w:t>
      </w:r>
      <w:r>
        <w:rPr>
          <w:rFonts w:hint="eastAsia" w:ascii="宋体" w:hAnsi="宋体" w:eastAsia="宋体" w:cs="宋体"/>
          <w:sz w:val="32"/>
          <w:szCs w:val="32"/>
        </w:rPr>
        <w:t>3</w:t>
      </w:r>
      <w:r>
        <w:rPr>
          <w:rFonts w:hint="eastAsia" w:ascii="宋体" w:hAnsi="宋体" w:eastAsia="宋体" w:cs="宋体"/>
          <w:sz w:val="32"/>
          <w:szCs w:val="32"/>
        </w:rPr>
        <w:t>学时，实训学时为8学时</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涉及的专业主要是药学专业以及药品经营与管理专业</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 课程安排为一学期，总学时34学时，理论学时为24学时，实训学时为10学时，涉及的专业主要是药品质量与安全专业。学时的差异主要体现在免疫学部分，总学时为34学时的课程安排中，免疫学部分仅涉及到免疫</w:t>
      </w:r>
      <w:bookmarkStart w:id="0" w:name="_GoBack"/>
      <w:bookmarkEnd w:id="0"/>
      <w:r>
        <w:rPr>
          <w:rFonts w:hint="eastAsia" w:ascii="宋体" w:hAnsi="宋体" w:eastAsia="宋体" w:cs="宋体"/>
          <w:sz w:val="32"/>
          <w:szCs w:val="32"/>
          <w:lang w:val="en-US" w:eastAsia="zh-CN"/>
        </w:rPr>
        <w:t>学概述部分。</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表二 学生专科阶段病原生物与免疫学课程学习情况统计</w:t>
      </w:r>
    </w:p>
    <w:tbl>
      <w:tblPr>
        <w:tblStyle w:val="5"/>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0"/>
        <w:gridCol w:w="1620"/>
        <w:gridCol w:w="1672"/>
        <w:gridCol w:w="1583"/>
        <w:gridCol w:w="165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0" w:type="dxa"/>
            <w:vMerge w:val="restart"/>
            <w:tcBorders>
              <w:top w:val="single" w:color="auto" w:sz="12"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年级</w:t>
            </w:r>
          </w:p>
        </w:tc>
        <w:tc>
          <w:tcPr>
            <w:tcW w:w="3292" w:type="dxa"/>
            <w:gridSpan w:val="2"/>
            <w:tcBorders>
              <w:top w:val="single" w:color="auto" w:sz="12" w:space="0"/>
              <w:bottom w:val="nil"/>
            </w:tcBorders>
          </w:tcPr>
          <w:p>
            <w:pPr>
              <w:keepNext w:val="0"/>
              <w:keepLines w:val="0"/>
              <w:pageBreakBefore w:val="0"/>
              <w:kinsoku/>
              <w:wordWrap/>
              <w:overflowPunct/>
              <w:topLinePunct w:val="0"/>
              <w:autoSpaceDE/>
              <w:autoSpaceDN/>
              <w:bidi w:val="0"/>
              <w:adjustRightInd/>
              <w:snapToGrid/>
              <w:spacing w:line="240" w:lineRule="auto"/>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59264" behindDoc="1" locked="0" layoutInCell="1" allowOverlap="1">
                      <wp:simplePos x="0" y="0"/>
                      <wp:positionH relativeFrom="column">
                        <wp:posOffset>484505</wp:posOffset>
                      </wp:positionH>
                      <wp:positionV relativeFrom="paragraph">
                        <wp:posOffset>748030</wp:posOffset>
                      </wp:positionV>
                      <wp:extent cx="1276350" cy="5080"/>
                      <wp:effectExtent l="0" t="0" r="19050" b="33655"/>
                      <wp:wrapTight wrapText="bothSides">
                        <wp:wrapPolygon>
                          <wp:start x="0" y="0"/>
                          <wp:lineTo x="0" y="92571"/>
                          <wp:lineTo x="21600" y="92571"/>
                          <wp:lineTo x="21600" y="0"/>
                          <wp:lineTo x="0" y="0"/>
                        </wp:wrapPolygon>
                      </wp:wrapTight>
                      <wp:docPr id="1" name="直接连接符 1"/>
                      <wp:cNvGraphicFramePr/>
                      <a:graphic xmlns:a="http://schemas.openxmlformats.org/drawingml/2006/main">
                        <a:graphicData uri="http://schemas.microsoft.com/office/word/2010/wordprocessingShape">
                          <wps:wsp>
                            <wps:cNvCnPr/>
                            <wps:spPr>
                              <a:xfrm flipV="1">
                                <a:off x="0" y="0"/>
                                <a:ext cx="1276350" cy="476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8.15pt;margin-top:58.9pt;height:0.4pt;width:100.5pt;mso-wrap-distance-left:9pt;mso-wrap-distance-right:9pt;z-index:-251657216;mso-width-relative:page;mso-height-relative:page;" filled="f" stroked="t" coordsize="21600,21600" wrapcoords="0 0 0 92571 21600 92571 21600 0 0 0" o:gfxdata="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8&#10;MYg/2AAAAAgBAAAPAAAAAAAAAAEAIAAAACIAAABkcnMvZG93bnJldi54bWxQSwECFAAUAAAACACH&#10;TuJA/53FjusBAAC+AwAADgAAAAAAAAABACAAAAAnAQAAZHJzL2Uyb0RvYy54bWxQSwUGAAAAAAYA&#10;BgBZAQAAhAUAAAAA&#10;">
                      <v:fill on="f" focussize="0,0"/>
                      <v:stroke color="#000000 [3213]" miterlimit="8" joinstyle="miter"/>
                      <v:imagedata o:title=""/>
                      <o:lock v:ext="edit" aspectratio="f"/>
                      <w10:wrap type="tight"/>
                    </v:line>
                  </w:pict>
                </mc:Fallback>
              </mc:AlternateContent>
            </w:r>
            <w:r>
              <w:rPr>
                <w:rFonts w:hint="eastAsia" w:ascii="宋体" w:hAnsi="宋体" w:eastAsia="宋体" w:cs="宋体"/>
                <w:sz w:val="32"/>
                <w:szCs w:val="32"/>
              </w:rPr>
              <w:t>是否学习过本门课程</w:t>
            </w:r>
          </w:p>
        </w:tc>
        <w:tc>
          <w:tcPr>
            <w:tcW w:w="3240" w:type="dxa"/>
            <w:gridSpan w:val="2"/>
            <w:tcBorders>
              <w:top w:val="single" w:color="auto" w:sz="12" w:space="0"/>
              <w:bottom w:val="nil"/>
            </w:tcBorders>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0288" behindDoc="1" locked="0" layoutInCell="1" allowOverlap="1">
                      <wp:simplePos x="0" y="0"/>
                      <wp:positionH relativeFrom="column">
                        <wp:posOffset>219075</wp:posOffset>
                      </wp:positionH>
                      <wp:positionV relativeFrom="paragraph">
                        <wp:posOffset>751840</wp:posOffset>
                      </wp:positionV>
                      <wp:extent cx="1396365" cy="3175"/>
                      <wp:effectExtent l="0" t="4445" r="3810" b="635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flipV="1">
                                <a:off x="0" y="0"/>
                                <a:ext cx="1396365" cy="31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25pt;margin-top:59.2pt;height:0.25pt;width:109.95pt;mso-wrap-distance-left:9pt;mso-wrap-distance-right:9pt;z-index:-251656192;mso-width-relative:page;mso-height-relative:page;" filled="f" stroked="t" coordsize="21600,21600" wrapcoords="0 0 0 21600 21600 21600 21600 0 0 0" o:gfxdata="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xOjobYAAAACAEAAA8AAAAAAAAAAQAgAAAAIgAAAGRycy9kb3ducmV2LnhtbFBLAQIUABQAAAAI&#10;AIdO4kBx1hvd7QEAAL4DAAAOAAAAAAAAAAEAIAAAACcBAABkcnMvZTJvRG9jLnhtbFBLBQYAAAAA&#10;BgAGAFkBAACGBQAAAAA=&#10;">
                      <v:fill on="f" focussize="0,0"/>
                      <v:stroke color="#000000 [3213]" miterlimit="8" joinstyle="miter"/>
                      <v:imagedata o:title=""/>
                      <o:lock v:ext="edit" aspectratio="f"/>
                      <w10:wrap type="tight"/>
                    </v:line>
                  </w:pict>
                </mc:Fallback>
              </mc:AlternateContent>
            </w:r>
            <w:r>
              <w:rPr>
                <w:rFonts w:hint="eastAsia" w:ascii="宋体" w:hAnsi="宋体" w:eastAsia="宋体" w:cs="宋体"/>
                <w:sz w:val="32"/>
                <w:szCs w:val="32"/>
                <w:lang w:val="en-US" w:eastAsia="zh-CN"/>
              </w:rPr>
              <w:t>所学</w:t>
            </w:r>
            <w:r>
              <w:rPr>
                <w:rFonts w:hint="eastAsia" w:ascii="宋体" w:hAnsi="宋体" w:eastAsia="宋体" w:cs="宋体"/>
                <w:sz w:val="32"/>
                <w:szCs w:val="32"/>
              </w:rPr>
              <w:t>课程</w:t>
            </w:r>
            <w:r>
              <w:rPr>
                <w:rFonts w:hint="eastAsia" w:ascii="宋体" w:hAnsi="宋体" w:eastAsia="宋体" w:cs="宋体"/>
                <w:sz w:val="32"/>
                <w:szCs w:val="32"/>
                <w:lang w:eastAsia="zh-CN"/>
              </w:rPr>
              <w:t>的</w:t>
            </w:r>
            <w:r>
              <w:rPr>
                <w:rFonts w:hint="eastAsia" w:ascii="宋体" w:hAnsi="宋体" w:eastAsia="宋体" w:cs="宋体"/>
                <w:sz w:val="32"/>
                <w:szCs w:val="32"/>
              </w:rPr>
              <w:t>学时设置</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0" w:type="dxa"/>
            <w:vMerge w:val="continue"/>
            <w:tcBorders>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p>
        </w:tc>
        <w:tc>
          <w:tcPr>
            <w:tcW w:w="1620"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学过(%</w:t>
            </w:r>
            <w:r>
              <w:rPr>
                <w:rFonts w:hint="eastAsia" w:ascii="宋体" w:hAnsi="宋体" w:eastAsia="宋体" w:cs="宋体"/>
                <w:sz w:val="32"/>
                <w:szCs w:val="32"/>
              </w:rPr>
              <w:t>)</w:t>
            </w:r>
          </w:p>
        </w:tc>
        <w:tc>
          <w:tcPr>
            <w:tcW w:w="1672"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未学过(%</w:t>
            </w:r>
            <w:r>
              <w:rPr>
                <w:rFonts w:hint="eastAsia" w:ascii="宋体" w:hAnsi="宋体" w:eastAsia="宋体" w:cs="宋体"/>
                <w:sz w:val="32"/>
                <w:szCs w:val="32"/>
              </w:rPr>
              <w:t>)</w:t>
            </w:r>
          </w:p>
        </w:tc>
        <w:tc>
          <w:tcPr>
            <w:tcW w:w="1583"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51学时(43+8)</w:t>
            </w:r>
          </w:p>
        </w:tc>
        <w:tc>
          <w:tcPr>
            <w:tcW w:w="1657"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34学时(24+10)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0"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019</w:t>
            </w:r>
            <w:r>
              <w:rPr>
                <w:rFonts w:hint="eastAsia" w:ascii="宋体" w:hAnsi="宋体" w:eastAsia="宋体" w:cs="宋体"/>
                <w:sz w:val="32"/>
                <w:szCs w:val="32"/>
              </w:rPr>
              <w:t>级(5</w:t>
            </w:r>
            <w:r>
              <w:rPr>
                <w:rFonts w:hint="eastAsia" w:ascii="宋体" w:hAnsi="宋体" w:eastAsia="宋体" w:cs="宋体"/>
                <w:sz w:val="32"/>
                <w:szCs w:val="32"/>
              </w:rPr>
              <w:t>0</w:t>
            </w:r>
            <w:r>
              <w:rPr>
                <w:rFonts w:hint="eastAsia" w:ascii="宋体" w:hAnsi="宋体" w:eastAsia="宋体" w:cs="宋体"/>
                <w:sz w:val="32"/>
                <w:szCs w:val="32"/>
              </w:rPr>
              <w:t>人</w:t>
            </w:r>
            <w:r>
              <w:rPr>
                <w:rFonts w:hint="eastAsia" w:ascii="宋体" w:hAnsi="宋体" w:eastAsia="宋体" w:cs="宋体"/>
                <w:sz w:val="32"/>
                <w:szCs w:val="32"/>
              </w:rPr>
              <w:t>)</w:t>
            </w:r>
          </w:p>
        </w:tc>
        <w:tc>
          <w:tcPr>
            <w:tcW w:w="1620"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7(94.0)</w:t>
            </w:r>
          </w:p>
        </w:tc>
        <w:tc>
          <w:tcPr>
            <w:tcW w:w="1672"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(6.0)</w:t>
            </w:r>
          </w:p>
        </w:tc>
        <w:tc>
          <w:tcPr>
            <w:tcW w:w="1583"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42</w:t>
            </w:r>
            <w:r>
              <w:rPr>
                <w:rFonts w:hint="eastAsia" w:ascii="宋体" w:hAnsi="宋体" w:eastAsia="宋体" w:cs="宋体"/>
                <w:sz w:val="32"/>
                <w:szCs w:val="32"/>
              </w:rPr>
              <w:t>(</w:t>
            </w:r>
            <w:r>
              <w:rPr>
                <w:rFonts w:hint="eastAsia" w:ascii="宋体" w:hAnsi="宋体" w:eastAsia="宋体" w:cs="宋体"/>
                <w:sz w:val="32"/>
                <w:szCs w:val="32"/>
                <w:lang w:val="en-US" w:eastAsia="zh-CN"/>
              </w:rPr>
              <w:t>84</w:t>
            </w:r>
            <w:r>
              <w:rPr>
                <w:rFonts w:hint="eastAsia" w:ascii="宋体" w:hAnsi="宋体" w:eastAsia="宋体" w:cs="宋体"/>
                <w:sz w:val="32"/>
                <w:szCs w:val="32"/>
              </w:rPr>
              <w:t>.0)</w:t>
            </w:r>
          </w:p>
        </w:tc>
        <w:tc>
          <w:tcPr>
            <w:tcW w:w="1657"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8</w:t>
            </w:r>
            <w:r>
              <w:rPr>
                <w:rFonts w:hint="eastAsia" w:ascii="宋体" w:hAnsi="宋体" w:eastAsia="宋体" w:cs="宋体"/>
                <w:sz w:val="32"/>
                <w:szCs w:val="32"/>
              </w:rPr>
              <w:t>(</w:t>
            </w:r>
            <w:r>
              <w:rPr>
                <w:rFonts w:hint="eastAsia" w:ascii="宋体" w:hAnsi="宋体" w:eastAsia="宋体" w:cs="宋体"/>
                <w:sz w:val="32"/>
                <w:szCs w:val="32"/>
                <w:lang w:val="en-US" w:eastAsia="zh-CN"/>
              </w:rPr>
              <w:t>16</w:t>
            </w:r>
            <w:r>
              <w:rPr>
                <w:rFonts w:hint="eastAsia" w:ascii="宋体" w:hAnsi="宋体" w:eastAsia="宋体" w:cs="宋体"/>
                <w:sz w:val="32"/>
                <w:szCs w:val="32"/>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020</w:t>
            </w:r>
            <w:r>
              <w:rPr>
                <w:rFonts w:hint="eastAsia" w:ascii="宋体" w:hAnsi="宋体" w:eastAsia="宋体" w:cs="宋体"/>
                <w:sz w:val="32"/>
                <w:szCs w:val="32"/>
              </w:rPr>
              <w:t>级(5</w:t>
            </w:r>
            <w:r>
              <w:rPr>
                <w:rFonts w:hint="eastAsia" w:ascii="宋体" w:hAnsi="宋体" w:eastAsia="宋体" w:cs="宋体"/>
                <w:sz w:val="32"/>
                <w:szCs w:val="32"/>
              </w:rPr>
              <w:t>0</w:t>
            </w:r>
            <w:r>
              <w:rPr>
                <w:rFonts w:hint="eastAsia" w:ascii="宋体" w:hAnsi="宋体" w:eastAsia="宋体" w:cs="宋体"/>
                <w:sz w:val="32"/>
                <w:szCs w:val="32"/>
              </w:rPr>
              <w:t>人</w:t>
            </w:r>
            <w:r>
              <w:rPr>
                <w:rFonts w:hint="eastAsia" w:ascii="宋体" w:hAnsi="宋体" w:eastAsia="宋体" w:cs="宋体"/>
                <w:sz w:val="32"/>
                <w:szCs w:val="32"/>
              </w:rPr>
              <w:t>)</w:t>
            </w:r>
          </w:p>
        </w:tc>
        <w:tc>
          <w:tcPr>
            <w:tcW w:w="162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6(92.0)</w:t>
            </w:r>
          </w:p>
        </w:tc>
        <w:tc>
          <w:tcPr>
            <w:tcW w:w="1672"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(8.0)</w:t>
            </w:r>
          </w:p>
        </w:tc>
        <w:tc>
          <w:tcPr>
            <w:tcW w:w="158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43</w:t>
            </w:r>
            <w:r>
              <w:rPr>
                <w:rFonts w:hint="eastAsia" w:ascii="宋体" w:hAnsi="宋体" w:eastAsia="宋体" w:cs="宋体"/>
                <w:sz w:val="32"/>
                <w:szCs w:val="32"/>
              </w:rPr>
              <w:t>(</w:t>
            </w:r>
            <w:r>
              <w:rPr>
                <w:rFonts w:hint="eastAsia" w:ascii="宋体" w:hAnsi="宋体" w:eastAsia="宋体" w:cs="宋体"/>
                <w:sz w:val="32"/>
                <w:szCs w:val="32"/>
                <w:lang w:val="en-US" w:eastAsia="zh-CN"/>
              </w:rPr>
              <w:t>86</w:t>
            </w:r>
            <w:r>
              <w:rPr>
                <w:rFonts w:hint="eastAsia" w:ascii="宋体" w:hAnsi="宋体" w:eastAsia="宋体" w:cs="宋体"/>
                <w:sz w:val="32"/>
                <w:szCs w:val="32"/>
              </w:rPr>
              <w:t>.0)</w:t>
            </w:r>
          </w:p>
        </w:tc>
        <w:tc>
          <w:tcPr>
            <w:tcW w:w="165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7</w:t>
            </w:r>
            <w:r>
              <w:rPr>
                <w:rFonts w:hint="eastAsia" w:ascii="宋体" w:hAnsi="宋体" w:eastAsia="宋体" w:cs="宋体"/>
                <w:sz w:val="32"/>
                <w:szCs w:val="32"/>
              </w:rPr>
              <w:t>(</w:t>
            </w:r>
            <w:r>
              <w:rPr>
                <w:rFonts w:hint="eastAsia" w:ascii="宋体" w:hAnsi="宋体" w:eastAsia="宋体" w:cs="宋体"/>
                <w:sz w:val="32"/>
                <w:szCs w:val="32"/>
                <w:lang w:val="en-US" w:eastAsia="zh-CN"/>
              </w:rPr>
              <w:t>14</w:t>
            </w:r>
            <w:r>
              <w:rPr>
                <w:rFonts w:hint="eastAsia" w:ascii="宋体" w:hAnsi="宋体" w:eastAsia="宋体" w:cs="宋体"/>
                <w:sz w:val="32"/>
                <w:szCs w:val="32"/>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67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02</w:t>
            </w:r>
            <w:r>
              <w:rPr>
                <w:rFonts w:hint="eastAsia" w:ascii="宋体" w:hAnsi="宋体" w:eastAsia="宋体" w:cs="宋体"/>
                <w:sz w:val="32"/>
                <w:szCs w:val="32"/>
                <w:lang w:val="en-US" w:eastAsia="zh-CN"/>
              </w:rPr>
              <w:t>1</w:t>
            </w:r>
            <w:r>
              <w:rPr>
                <w:rFonts w:hint="eastAsia" w:ascii="宋体" w:hAnsi="宋体" w:eastAsia="宋体" w:cs="宋体"/>
                <w:sz w:val="32"/>
                <w:szCs w:val="32"/>
              </w:rPr>
              <w:t>级(5</w:t>
            </w:r>
            <w:r>
              <w:rPr>
                <w:rFonts w:hint="eastAsia" w:ascii="宋体" w:hAnsi="宋体" w:eastAsia="宋体" w:cs="宋体"/>
                <w:sz w:val="32"/>
                <w:szCs w:val="32"/>
              </w:rPr>
              <w:t>0</w:t>
            </w:r>
            <w:r>
              <w:rPr>
                <w:rFonts w:hint="eastAsia" w:ascii="宋体" w:hAnsi="宋体" w:eastAsia="宋体" w:cs="宋体"/>
                <w:sz w:val="32"/>
                <w:szCs w:val="32"/>
              </w:rPr>
              <w:t>人</w:t>
            </w:r>
            <w:r>
              <w:rPr>
                <w:rFonts w:hint="eastAsia" w:ascii="宋体" w:hAnsi="宋体" w:eastAsia="宋体" w:cs="宋体"/>
                <w:sz w:val="32"/>
                <w:szCs w:val="32"/>
              </w:rPr>
              <w:t>)</w:t>
            </w:r>
          </w:p>
        </w:tc>
        <w:tc>
          <w:tcPr>
            <w:tcW w:w="162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45(90.0)</w:t>
            </w:r>
          </w:p>
        </w:tc>
        <w:tc>
          <w:tcPr>
            <w:tcW w:w="1672"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w:t>
            </w:r>
            <w:r>
              <w:rPr>
                <w:rFonts w:hint="eastAsia" w:ascii="宋体" w:hAnsi="宋体" w:eastAsia="宋体" w:cs="宋体"/>
                <w:sz w:val="32"/>
                <w:szCs w:val="32"/>
              </w:rPr>
              <w:t>(</w:t>
            </w:r>
            <w:r>
              <w:rPr>
                <w:rFonts w:hint="eastAsia" w:ascii="宋体" w:hAnsi="宋体" w:eastAsia="宋体" w:cs="宋体"/>
                <w:sz w:val="32"/>
                <w:szCs w:val="32"/>
                <w:lang w:val="en-US" w:eastAsia="zh-CN"/>
              </w:rPr>
              <w:t>10</w:t>
            </w:r>
            <w:r>
              <w:rPr>
                <w:rFonts w:hint="eastAsia" w:ascii="宋体" w:hAnsi="宋体" w:eastAsia="宋体" w:cs="宋体"/>
                <w:sz w:val="32"/>
                <w:szCs w:val="32"/>
              </w:rPr>
              <w:t>.0)</w:t>
            </w:r>
          </w:p>
        </w:tc>
        <w:tc>
          <w:tcPr>
            <w:tcW w:w="158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45</w:t>
            </w:r>
            <w:r>
              <w:rPr>
                <w:rFonts w:hint="eastAsia" w:ascii="宋体" w:hAnsi="宋体" w:eastAsia="宋体" w:cs="宋体"/>
                <w:sz w:val="32"/>
                <w:szCs w:val="32"/>
              </w:rPr>
              <w:t>(</w:t>
            </w:r>
            <w:r>
              <w:rPr>
                <w:rFonts w:hint="eastAsia" w:ascii="宋体" w:hAnsi="宋体" w:eastAsia="宋体" w:cs="宋体"/>
                <w:sz w:val="32"/>
                <w:szCs w:val="32"/>
                <w:lang w:val="en-US" w:eastAsia="zh-CN"/>
              </w:rPr>
              <w:t>90</w:t>
            </w:r>
            <w:r>
              <w:rPr>
                <w:rFonts w:hint="eastAsia" w:ascii="宋体" w:hAnsi="宋体" w:eastAsia="宋体" w:cs="宋体"/>
                <w:sz w:val="32"/>
                <w:szCs w:val="32"/>
              </w:rPr>
              <w:t>.0)</w:t>
            </w:r>
          </w:p>
        </w:tc>
        <w:tc>
          <w:tcPr>
            <w:tcW w:w="165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w:t>
            </w:r>
            <w:r>
              <w:rPr>
                <w:rFonts w:hint="eastAsia" w:ascii="宋体" w:hAnsi="宋体" w:eastAsia="宋体" w:cs="宋体"/>
                <w:sz w:val="32"/>
                <w:szCs w:val="32"/>
              </w:rPr>
              <w:t>(</w:t>
            </w:r>
            <w:r>
              <w:rPr>
                <w:rFonts w:hint="eastAsia" w:ascii="宋体" w:hAnsi="宋体" w:eastAsia="宋体" w:cs="宋体"/>
                <w:sz w:val="32"/>
                <w:szCs w:val="32"/>
                <w:lang w:val="en-US" w:eastAsia="zh-CN"/>
              </w:rPr>
              <w:t>10</w:t>
            </w:r>
            <w:r>
              <w:rPr>
                <w:rFonts w:hint="eastAsia" w:ascii="宋体" w:hAnsi="宋体" w:eastAsia="宋体" w:cs="宋体"/>
                <w:sz w:val="32"/>
                <w:szCs w:val="32"/>
              </w:rPr>
              <w:t>.0)</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lang w:eastAsia="zh-CN"/>
        </w:rPr>
        <w:t>）</w:t>
      </w:r>
      <w:r>
        <w:rPr>
          <w:rFonts w:hint="eastAsia" w:ascii="宋体" w:hAnsi="宋体" w:eastAsia="宋体" w:cs="宋体"/>
          <w:b/>
          <w:bCs/>
          <w:sz w:val="32"/>
          <w:szCs w:val="32"/>
        </w:rPr>
        <w:t>专升本学生学习目的调查</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专升本学生的学习目的将在一定程度上影响本门课程的教学内容及教学方法的改革。为了解学生升入本科的目的以及学习需求，本文对专升本学生的后期人生规划进行了调查。结果显示，大部分专升本学生有进一步学习深造、提高自身知识及学历的想法，如考研（7</w:t>
      </w:r>
      <w:r>
        <w:rPr>
          <w:rFonts w:hint="eastAsia" w:ascii="宋体" w:hAnsi="宋体" w:eastAsia="宋体" w:cs="宋体"/>
          <w:sz w:val="32"/>
          <w:szCs w:val="32"/>
        </w:rPr>
        <w:t>9%</w:t>
      </w:r>
      <w:r>
        <w:rPr>
          <w:rFonts w:hint="eastAsia" w:ascii="宋体" w:hAnsi="宋体" w:eastAsia="宋体" w:cs="宋体"/>
          <w:sz w:val="32"/>
          <w:szCs w:val="32"/>
        </w:rPr>
        <w:t>）；仅小部分学生（2</w:t>
      </w:r>
      <w:r>
        <w:rPr>
          <w:rFonts w:hint="eastAsia" w:ascii="宋体" w:hAnsi="宋体" w:eastAsia="宋体" w:cs="宋体"/>
          <w:sz w:val="32"/>
          <w:szCs w:val="32"/>
        </w:rPr>
        <w:t>1%</w:t>
      </w:r>
      <w:r>
        <w:rPr>
          <w:rFonts w:hint="eastAsia" w:ascii="宋体" w:hAnsi="宋体" w:eastAsia="宋体" w:cs="宋体"/>
          <w:sz w:val="32"/>
          <w:szCs w:val="32"/>
        </w:rPr>
        <w:t>）计划本科毕业后直接进入相关医院企业工作。</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表三 专升本学生学习目的统计</w:t>
      </w:r>
    </w:p>
    <w:tbl>
      <w:tblPr>
        <w:tblStyle w:val="5"/>
        <w:tblW w:w="0" w:type="auto"/>
        <w:tblInd w:w="89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5"/>
        <w:gridCol w:w="1908"/>
        <w:gridCol w:w="184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auto" w:sz="12" w:space="0"/>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年级</w:t>
            </w:r>
          </w:p>
        </w:tc>
        <w:tc>
          <w:tcPr>
            <w:tcW w:w="1908" w:type="dxa"/>
            <w:tcBorders>
              <w:top w:val="single" w:color="auto" w:sz="12" w:space="0"/>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考研(%</w:t>
            </w:r>
            <w:r>
              <w:rPr>
                <w:rFonts w:hint="eastAsia" w:ascii="宋体" w:hAnsi="宋体" w:eastAsia="宋体" w:cs="宋体"/>
                <w:sz w:val="32"/>
                <w:szCs w:val="32"/>
              </w:rPr>
              <w:t>)</w:t>
            </w:r>
          </w:p>
        </w:tc>
        <w:tc>
          <w:tcPr>
            <w:tcW w:w="1843" w:type="dxa"/>
            <w:tcBorders>
              <w:top w:val="single" w:color="auto" w:sz="12" w:space="0"/>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工作(%</w:t>
            </w:r>
            <w:r>
              <w:rPr>
                <w:rFonts w:hint="eastAsia" w:ascii="宋体" w:hAnsi="宋体" w:eastAsia="宋体" w:cs="宋体"/>
                <w:sz w:val="32"/>
                <w:szCs w:val="32"/>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019</w:t>
            </w:r>
            <w:r>
              <w:rPr>
                <w:rFonts w:hint="eastAsia" w:ascii="宋体" w:hAnsi="宋体" w:eastAsia="宋体" w:cs="宋体"/>
                <w:sz w:val="32"/>
                <w:szCs w:val="32"/>
              </w:rPr>
              <w:t>级(5</w:t>
            </w:r>
            <w:r>
              <w:rPr>
                <w:rFonts w:hint="eastAsia" w:ascii="宋体" w:hAnsi="宋体" w:eastAsia="宋体" w:cs="宋体"/>
                <w:sz w:val="32"/>
                <w:szCs w:val="32"/>
              </w:rPr>
              <w:t>0</w:t>
            </w:r>
            <w:r>
              <w:rPr>
                <w:rFonts w:hint="eastAsia" w:ascii="宋体" w:hAnsi="宋体" w:eastAsia="宋体" w:cs="宋体"/>
                <w:sz w:val="32"/>
                <w:szCs w:val="32"/>
              </w:rPr>
              <w:t>人</w:t>
            </w:r>
            <w:r>
              <w:rPr>
                <w:rFonts w:hint="eastAsia" w:ascii="宋体" w:hAnsi="宋体" w:eastAsia="宋体" w:cs="宋体"/>
                <w:sz w:val="32"/>
                <w:szCs w:val="32"/>
              </w:rPr>
              <w:t>)</w:t>
            </w:r>
          </w:p>
        </w:tc>
        <w:tc>
          <w:tcPr>
            <w:tcW w:w="1908"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9</w:t>
            </w:r>
            <w:r>
              <w:rPr>
                <w:rFonts w:hint="eastAsia" w:ascii="宋体" w:hAnsi="宋体" w:eastAsia="宋体" w:cs="宋体"/>
                <w:sz w:val="32"/>
                <w:szCs w:val="32"/>
              </w:rPr>
              <w:t>(</w:t>
            </w:r>
            <w:r>
              <w:rPr>
                <w:rFonts w:hint="eastAsia" w:ascii="宋体" w:hAnsi="宋体" w:eastAsia="宋体" w:cs="宋体"/>
                <w:sz w:val="32"/>
                <w:szCs w:val="32"/>
              </w:rPr>
              <w:t>78</w:t>
            </w:r>
            <w:r>
              <w:rPr>
                <w:rFonts w:hint="eastAsia" w:ascii="宋体" w:hAnsi="宋体" w:eastAsia="宋体" w:cs="宋体"/>
                <w:sz w:val="32"/>
                <w:szCs w:val="32"/>
                <w:lang w:val="en-US" w:eastAsia="zh-CN"/>
              </w:rPr>
              <w:t>.0</w:t>
            </w:r>
            <w:r>
              <w:rPr>
                <w:rFonts w:hint="eastAsia" w:ascii="宋体" w:hAnsi="宋体" w:eastAsia="宋体" w:cs="宋体"/>
                <w:sz w:val="32"/>
                <w:szCs w:val="32"/>
              </w:rPr>
              <w:t>)</w:t>
            </w:r>
          </w:p>
        </w:tc>
        <w:tc>
          <w:tcPr>
            <w:tcW w:w="1843"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1</w:t>
            </w:r>
            <w:r>
              <w:rPr>
                <w:rFonts w:hint="eastAsia" w:ascii="宋体" w:hAnsi="宋体" w:eastAsia="宋体" w:cs="宋体"/>
                <w:sz w:val="32"/>
                <w:szCs w:val="32"/>
              </w:rPr>
              <w:t>(</w:t>
            </w:r>
            <w:r>
              <w:rPr>
                <w:rFonts w:hint="eastAsia" w:ascii="宋体" w:hAnsi="宋体" w:eastAsia="宋体" w:cs="宋体"/>
                <w:sz w:val="32"/>
                <w:szCs w:val="32"/>
              </w:rPr>
              <w:t>22</w:t>
            </w:r>
            <w:r>
              <w:rPr>
                <w:rFonts w:hint="eastAsia" w:ascii="宋体" w:hAnsi="宋体" w:eastAsia="宋体" w:cs="宋体"/>
                <w:sz w:val="32"/>
                <w:szCs w:val="32"/>
                <w:lang w:val="en-US" w:eastAsia="zh-CN"/>
              </w:rPr>
              <w:t>.0</w:t>
            </w:r>
            <w:r>
              <w:rPr>
                <w:rFonts w:hint="eastAsia" w:ascii="宋体" w:hAnsi="宋体" w:eastAsia="宋体" w:cs="宋体"/>
                <w:sz w:val="32"/>
                <w:szCs w:val="32"/>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020</w:t>
            </w:r>
            <w:r>
              <w:rPr>
                <w:rFonts w:hint="eastAsia" w:ascii="宋体" w:hAnsi="宋体" w:eastAsia="宋体" w:cs="宋体"/>
                <w:sz w:val="32"/>
                <w:szCs w:val="32"/>
              </w:rPr>
              <w:t>级(5</w:t>
            </w:r>
            <w:r>
              <w:rPr>
                <w:rFonts w:hint="eastAsia" w:ascii="宋体" w:hAnsi="宋体" w:eastAsia="宋体" w:cs="宋体"/>
                <w:sz w:val="32"/>
                <w:szCs w:val="32"/>
              </w:rPr>
              <w:t>0</w:t>
            </w:r>
            <w:r>
              <w:rPr>
                <w:rFonts w:hint="eastAsia" w:ascii="宋体" w:hAnsi="宋体" w:eastAsia="宋体" w:cs="宋体"/>
                <w:sz w:val="32"/>
                <w:szCs w:val="32"/>
              </w:rPr>
              <w:t>人</w:t>
            </w:r>
            <w:r>
              <w:rPr>
                <w:rFonts w:hint="eastAsia" w:ascii="宋体" w:hAnsi="宋体" w:eastAsia="宋体" w:cs="宋体"/>
                <w:sz w:val="32"/>
                <w:szCs w:val="32"/>
              </w:rPr>
              <w:t>)</w:t>
            </w:r>
          </w:p>
        </w:tc>
        <w:tc>
          <w:tcPr>
            <w:tcW w:w="190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4</w:t>
            </w:r>
            <w:r>
              <w:rPr>
                <w:rFonts w:hint="eastAsia" w:ascii="宋体" w:hAnsi="宋体" w:eastAsia="宋体" w:cs="宋体"/>
                <w:sz w:val="32"/>
                <w:szCs w:val="32"/>
              </w:rPr>
              <w:t>0</w:t>
            </w:r>
            <w:r>
              <w:rPr>
                <w:rFonts w:hint="eastAsia" w:ascii="宋体" w:hAnsi="宋体" w:eastAsia="宋体" w:cs="宋体"/>
                <w:sz w:val="32"/>
                <w:szCs w:val="32"/>
              </w:rPr>
              <w:t>(</w:t>
            </w:r>
            <w:r>
              <w:rPr>
                <w:rFonts w:hint="eastAsia" w:ascii="宋体" w:hAnsi="宋体" w:eastAsia="宋体" w:cs="宋体"/>
                <w:sz w:val="32"/>
                <w:szCs w:val="32"/>
              </w:rPr>
              <w:t>80</w:t>
            </w:r>
            <w:r>
              <w:rPr>
                <w:rFonts w:hint="eastAsia" w:ascii="宋体" w:hAnsi="宋体" w:eastAsia="宋体" w:cs="宋体"/>
                <w:sz w:val="32"/>
                <w:szCs w:val="32"/>
                <w:lang w:val="en-US" w:eastAsia="zh-CN"/>
              </w:rPr>
              <w:t>.0</w:t>
            </w:r>
            <w:r>
              <w:rPr>
                <w:rFonts w:hint="eastAsia" w:ascii="宋体" w:hAnsi="宋体" w:eastAsia="宋体" w:cs="宋体"/>
                <w:sz w:val="32"/>
                <w:szCs w:val="32"/>
              </w:rPr>
              <w:t>)</w:t>
            </w:r>
          </w:p>
        </w:tc>
        <w:tc>
          <w:tcPr>
            <w:tcW w:w="184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0</w:t>
            </w:r>
            <w:r>
              <w:rPr>
                <w:rFonts w:hint="eastAsia" w:ascii="宋体" w:hAnsi="宋体" w:eastAsia="宋体" w:cs="宋体"/>
                <w:sz w:val="32"/>
                <w:szCs w:val="32"/>
              </w:rPr>
              <w:t>(</w:t>
            </w:r>
            <w:r>
              <w:rPr>
                <w:rFonts w:hint="eastAsia" w:ascii="宋体" w:hAnsi="宋体" w:eastAsia="宋体" w:cs="宋体"/>
                <w:sz w:val="32"/>
                <w:szCs w:val="32"/>
              </w:rPr>
              <w:t>20</w:t>
            </w:r>
            <w:r>
              <w:rPr>
                <w:rFonts w:hint="eastAsia" w:ascii="宋体" w:hAnsi="宋体" w:eastAsia="宋体" w:cs="宋体"/>
                <w:sz w:val="32"/>
                <w:szCs w:val="32"/>
                <w:lang w:val="en-US" w:eastAsia="zh-CN"/>
              </w:rPr>
              <w:t>.0</w:t>
            </w:r>
            <w:r>
              <w:rPr>
                <w:rFonts w:hint="eastAsia" w:ascii="宋体" w:hAnsi="宋体" w:eastAsia="宋体" w:cs="宋体"/>
                <w:sz w:val="32"/>
                <w:szCs w:val="32"/>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2021级</w:t>
            </w:r>
            <w:r>
              <w:rPr>
                <w:rFonts w:hint="eastAsia" w:ascii="宋体" w:hAnsi="宋体" w:eastAsia="宋体" w:cs="宋体"/>
                <w:sz w:val="32"/>
                <w:szCs w:val="32"/>
              </w:rPr>
              <w:t>(5</w:t>
            </w:r>
            <w:r>
              <w:rPr>
                <w:rFonts w:hint="eastAsia" w:ascii="宋体" w:hAnsi="宋体" w:eastAsia="宋体" w:cs="宋体"/>
                <w:sz w:val="32"/>
                <w:szCs w:val="32"/>
              </w:rPr>
              <w:t>0</w:t>
            </w:r>
            <w:r>
              <w:rPr>
                <w:rFonts w:hint="eastAsia" w:ascii="宋体" w:hAnsi="宋体" w:eastAsia="宋体" w:cs="宋体"/>
                <w:sz w:val="32"/>
                <w:szCs w:val="32"/>
              </w:rPr>
              <w:t>人</w:t>
            </w:r>
            <w:r>
              <w:rPr>
                <w:rFonts w:hint="eastAsia" w:ascii="宋体" w:hAnsi="宋体" w:eastAsia="宋体" w:cs="宋体"/>
                <w:sz w:val="32"/>
                <w:szCs w:val="32"/>
              </w:rPr>
              <w:t>)</w:t>
            </w:r>
          </w:p>
        </w:tc>
        <w:tc>
          <w:tcPr>
            <w:tcW w:w="190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37</w:t>
            </w:r>
            <w:r>
              <w:rPr>
                <w:rFonts w:hint="eastAsia" w:ascii="宋体" w:hAnsi="宋体" w:eastAsia="宋体" w:cs="宋体"/>
                <w:sz w:val="32"/>
                <w:szCs w:val="32"/>
              </w:rPr>
              <w:t>(</w:t>
            </w:r>
            <w:r>
              <w:rPr>
                <w:rFonts w:hint="eastAsia" w:ascii="宋体" w:hAnsi="宋体" w:eastAsia="宋体" w:cs="宋体"/>
                <w:sz w:val="32"/>
                <w:szCs w:val="32"/>
                <w:lang w:val="en-US" w:eastAsia="zh-CN"/>
              </w:rPr>
              <w:t>74.0</w:t>
            </w:r>
            <w:r>
              <w:rPr>
                <w:rFonts w:hint="eastAsia" w:ascii="宋体" w:hAnsi="宋体" w:eastAsia="宋体" w:cs="宋体"/>
                <w:sz w:val="32"/>
                <w:szCs w:val="32"/>
              </w:rPr>
              <w:t>)</w:t>
            </w:r>
          </w:p>
        </w:tc>
        <w:tc>
          <w:tcPr>
            <w:tcW w:w="184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13</w:t>
            </w:r>
            <w:r>
              <w:rPr>
                <w:rFonts w:hint="eastAsia" w:ascii="宋体" w:hAnsi="宋体" w:eastAsia="宋体" w:cs="宋体"/>
                <w:sz w:val="32"/>
                <w:szCs w:val="32"/>
              </w:rPr>
              <w:t>(</w:t>
            </w:r>
            <w:r>
              <w:rPr>
                <w:rFonts w:hint="eastAsia" w:ascii="宋体" w:hAnsi="宋体" w:eastAsia="宋体" w:cs="宋体"/>
                <w:sz w:val="32"/>
                <w:szCs w:val="32"/>
              </w:rPr>
              <w:t>2</w:t>
            </w:r>
            <w:r>
              <w:rPr>
                <w:rFonts w:hint="eastAsia" w:ascii="宋体" w:hAnsi="宋体" w:eastAsia="宋体" w:cs="宋体"/>
                <w:sz w:val="32"/>
                <w:szCs w:val="32"/>
                <w:lang w:val="en-US" w:eastAsia="zh-CN"/>
              </w:rPr>
              <w:t>6.0</w:t>
            </w:r>
            <w:r>
              <w:rPr>
                <w:rFonts w:hint="eastAsia" w:ascii="宋体" w:hAnsi="宋体" w:eastAsia="宋体" w:cs="宋体"/>
                <w:sz w:val="32"/>
                <w:szCs w:val="32"/>
              </w:rPr>
              <w:t>)</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二、病原生物与免疫学课程专科阶段的教学模式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一</w:t>
      </w:r>
      <w:r>
        <w:rPr>
          <w:rFonts w:hint="eastAsia" w:ascii="宋体" w:hAnsi="宋体" w:eastAsia="宋体" w:cs="宋体"/>
          <w:b/>
          <w:bCs/>
          <w:sz w:val="32"/>
          <w:szCs w:val="32"/>
          <w:lang w:eastAsia="zh-CN"/>
        </w:rPr>
        <w:t>）</w:t>
      </w:r>
      <w:r>
        <w:rPr>
          <w:rFonts w:hint="eastAsia" w:ascii="宋体" w:hAnsi="宋体" w:eastAsia="宋体" w:cs="宋体"/>
          <w:b/>
          <w:bCs/>
          <w:sz w:val="32"/>
          <w:szCs w:val="32"/>
        </w:rPr>
        <w:t>教学模式</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课程为理论与实践相结合的一门课程。专科阶段的理论教学一般采用传授式教学方式，主要是教师讲授，学生听讲的模式。此种教学方式是比较传统的教学方式，学生是被动的接受知识。这种传统的教学方式更适合初次学习本课程的学生。对于已系统学习过一遍本门课程的学生来说，此种面授式教学缺乏新意，学生容易对课堂内容失去兴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教学内容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门课程专科阶段的教学内容主要是微生物相关的基础知识、免疫学的基础知识以及微生物和免疫在医药中的应用。微生物相关知识包括微生物的基本特点、常见的细菌、真菌、病毒等。免疫学部分主要讲授免疫学基础部分，如免疫系统，抗原、抗体等</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但少数学生专科阶段仅学习过免疫学概述部分</w:t>
      </w:r>
      <w:r>
        <w:rPr>
          <w:rFonts w:hint="eastAsia" w:ascii="宋体" w:hAnsi="宋体" w:eastAsia="宋体" w:cs="宋体"/>
          <w:sz w:val="32"/>
          <w:szCs w:val="32"/>
        </w:rPr>
        <w:t>。实训性教学的内容主要集中在细菌的基本知识方面，如微生物实验室的认识和细菌形态结构观察；细菌革兰染色技术；消毒灭菌技术及结果观察。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三、专升本学生病原生物与免疫学课程教学模式改革探索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（一）翻转课堂教学</w:t>
      </w:r>
      <w:r>
        <w:rPr>
          <w:rFonts w:hint="eastAsia" w:ascii="宋体" w:hAnsi="宋体" w:eastAsia="宋体" w:cs="宋体"/>
          <w:b/>
          <w:bCs/>
          <w:sz w:val="32"/>
          <w:szCs w:val="32"/>
        </w:rPr>
        <w:t>，激发学生的学习主动性</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因专升本的学生已在专科阶段系统学习过本门课程，本科阶段继续由教师进行理论授课讲解，学生会觉得枯燥乏味。</w:t>
      </w:r>
      <w:r>
        <w:rPr>
          <w:rFonts w:hint="eastAsia" w:ascii="宋体" w:hAnsi="宋体" w:eastAsia="宋体" w:cs="宋体"/>
          <w:sz w:val="32"/>
          <w:szCs w:val="32"/>
          <w:lang w:val="en-US" w:eastAsia="zh-CN"/>
        </w:rPr>
        <w:t>而课堂参与度是衡量课程教学效果的重要指标，让学生深度参与课堂教学更有助于提高教学质量</w:t>
      </w:r>
      <w:r>
        <w:rPr>
          <w:rFonts w:hint="eastAsia" w:ascii="宋体" w:hAnsi="宋体" w:eastAsia="宋体" w:cs="宋体"/>
          <w:sz w:val="32"/>
          <w:szCs w:val="32"/>
          <w:vertAlign w:val="superscript"/>
          <w:lang w:val="en-US" w:eastAsia="zh-CN"/>
        </w:rPr>
        <w:t>[10]</w:t>
      </w:r>
      <w:r>
        <w:rPr>
          <w:rFonts w:hint="eastAsia" w:ascii="宋体" w:hAnsi="宋体" w:eastAsia="宋体" w:cs="宋体"/>
          <w:sz w:val="32"/>
          <w:szCs w:val="32"/>
          <w:lang w:val="en-US" w:eastAsia="zh-CN"/>
        </w:rPr>
        <w:t>。</w:t>
      </w:r>
      <w:r>
        <w:rPr>
          <w:rFonts w:hint="eastAsia" w:ascii="宋体" w:hAnsi="宋体" w:eastAsia="宋体" w:cs="宋体"/>
          <w:sz w:val="32"/>
          <w:szCs w:val="32"/>
        </w:rPr>
        <w:t>为了提高学生课堂的参与度和学习的积极性，本门课程</w:t>
      </w:r>
      <w:r>
        <w:rPr>
          <w:rFonts w:hint="eastAsia" w:ascii="宋体" w:hAnsi="宋体" w:eastAsia="宋体" w:cs="宋体"/>
          <w:sz w:val="32"/>
          <w:szCs w:val="32"/>
          <w:lang w:val="en-US" w:eastAsia="zh-CN"/>
        </w:rPr>
        <w:t>采用翻转课堂的方式进行授课。自2012年起，</w:t>
      </w:r>
      <w:r>
        <w:rPr>
          <w:rFonts w:hint="eastAsia" w:ascii="宋体" w:hAnsi="宋体" w:eastAsia="宋体" w:cs="宋体"/>
          <w:sz w:val="32"/>
          <w:szCs w:val="32"/>
        </w:rPr>
        <w:t>翻转课堂的理念、内涵、特征</w:t>
      </w:r>
      <w:r>
        <w:rPr>
          <w:rFonts w:hint="eastAsia" w:ascii="宋体" w:hAnsi="宋体" w:eastAsia="宋体" w:cs="宋体"/>
          <w:sz w:val="32"/>
          <w:szCs w:val="32"/>
          <w:lang w:val="en-US" w:eastAsia="zh-CN"/>
        </w:rPr>
        <w:t>等</w:t>
      </w:r>
      <w:r>
        <w:rPr>
          <w:rFonts w:hint="eastAsia" w:ascii="宋体" w:hAnsi="宋体" w:eastAsia="宋体" w:cs="宋体"/>
          <w:sz w:val="32"/>
          <w:szCs w:val="32"/>
        </w:rPr>
        <w:t>受到国内学者普遍关注，</w:t>
      </w:r>
      <w:r>
        <w:rPr>
          <w:rFonts w:hint="eastAsia" w:ascii="宋体" w:hAnsi="宋体" w:eastAsia="宋体" w:cs="宋体"/>
          <w:sz w:val="32"/>
          <w:szCs w:val="32"/>
          <w:lang w:val="en-US" w:eastAsia="zh-CN"/>
        </w:rPr>
        <w:t>这种</w:t>
      </w:r>
      <w:r>
        <w:rPr>
          <w:rFonts w:hint="eastAsia" w:ascii="宋体" w:hAnsi="宋体" w:eastAsia="宋体" w:cs="宋体"/>
          <w:sz w:val="32"/>
          <w:szCs w:val="32"/>
        </w:rPr>
        <w:t>先学后教</w:t>
      </w:r>
      <w:r>
        <w:rPr>
          <w:rFonts w:hint="eastAsia" w:ascii="宋体" w:hAnsi="宋体" w:eastAsia="宋体" w:cs="宋体"/>
          <w:sz w:val="32"/>
          <w:szCs w:val="32"/>
          <w:lang w:val="en-US" w:eastAsia="zh-CN"/>
        </w:rPr>
        <w:t>的教学方式</w:t>
      </w:r>
      <w:r>
        <w:rPr>
          <w:rFonts w:hint="eastAsia" w:ascii="宋体" w:hAnsi="宋体" w:eastAsia="宋体" w:cs="宋体"/>
          <w:sz w:val="32"/>
          <w:szCs w:val="32"/>
        </w:rPr>
        <w:t>，翻转了学生学习时间和师生角色</w:t>
      </w:r>
      <w:r>
        <w:rPr>
          <w:rFonts w:hint="eastAsia" w:ascii="宋体" w:hAnsi="宋体" w:eastAsia="宋体" w:cs="宋体"/>
          <w:sz w:val="32"/>
          <w:szCs w:val="32"/>
          <w:vertAlign w:val="superscript"/>
          <w:lang w:val="en-US" w:eastAsia="zh-CN"/>
        </w:rPr>
        <w:t>[11]</w:t>
      </w:r>
      <w:r>
        <w:rPr>
          <w:rFonts w:hint="eastAsia" w:ascii="宋体" w:hAnsi="宋体" w:eastAsia="宋体" w:cs="宋体"/>
          <w:sz w:val="32"/>
          <w:szCs w:val="32"/>
        </w:rPr>
        <w:t>。</w:t>
      </w:r>
      <w:r>
        <w:rPr>
          <w:rFonts w:hint="eastAsia" w:ascii="宋体" w:hAnsi="宋体" w:eastAsia="宋体" w:cs="宋体"/>
          <w:sz w:val="32"/>
          <w:szCs w:val="32"/>
          <w:lang w:val="en-US" w:eastAsia="zh-CN"/>
        </w:rPr>
        <w:t>针对不同学习阶段的多项教学改革研究中均采用了翻转课堂的形式，包括研究生教学</w:t>
      </w:r>
      <w:r>
        <w:rPr>
          <w:rFonts w:hint="eastAsia" w:ascii="宋体" w:hAnsi="宋体" w:eastAsia="宋体" w:cs="宋体"/>
          <w:sz w:val="32"/>
          <w:szCs w:val="32"/>
          <w:vertAlign w:val="superscript"/>
          <w:lang w:val="en-US" w:eastAsia="zh-CN"/>
        </w:rPr>
        <w:t>[12]</w:t>
      </w:r>
      <w:r>
        <w:rPr>
          <w:rFonts w:hint="eastAsia" w:ascii="宋体" w:hAnsi="宋体" w:eastAsia="宋体" w:cs="宋体"/>
          <w:sz w:val="32"/>
          <w:szCs w:val="32"/>
          <w:lang w:val="en-US" w:eastAsia="zh-CN"/>
        </w:rPr>
        <w:t>、本科教学</w:t>
      </w:r>
      <w:r>
        <w:rPr>
          <w:rFonts w:hint="eastAsia" w:ascii="宋体" w:hAnsi="宋体" w:eastAsia="宋体" w:cs="宋体"/>
          <w:sz w:val="32"/>
          <w:szCs w:val="32"/>
          <w:vertAlign w:val="superscript"/>
          <w:lang w:val="en-US" w:eastAsia="zh-CN"/>
        </w:rPr>
        <w:t>[13]</w:t>
      </w:r>
      <w:r>
        <w:rPr>
          <w:rFonts w:hint="eastAsia" w:ascii="宋体" w:hAnsi="宋体" w:eastAsia="宋体" w:cs="宋体"/>
          <w:sz w:val="32"/>
          <w:szCs w:val="32"/>
          <w:lang w:val="en-US" w:eastAsia="zh-CN"/>
        </w:rPr>
        <w:t>以及临床见习的学生</w:t>
      </w:r>
      <w:r>
        <w:rPr>
          <w:rFonts w:hint="eastAsia" w:ascii="宋体" w:hAnsi="宋体" w:eastAsia="宋体" w:cs="宋体"/>
          <w:sz w:val="32"/>
          <w:szCs w:val="32"/>
          <w:vertAlign w:val="superscript"/>
          <w:lang w:val="en-US" w:eastAsia="zh-CN"/>
        </w:rPr>
        <w:t>[14]</w:t>
      </w:r>
      <w:r>
        <w:rPr>
          <w:rFonts w:hint="eastAsia" w:ascii="宋体" w:hAnsi="宋体" w:eastAsia="宋体" w:cs="宋体"/>
          <w:sz w:val="32"/>
          <w:szCs w:val="32"/>
          <w:lang w:val="en-US" w:eastAsia="zh-CN"/>
        </w:rPr>
        <w:t>等。</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学生通过自主学习暴露出相关知识掌握中存在的问题，通过提出问题，讨论问题，解决问题的方式，提高学生课程参与感。本门课程的翻转课堂授课方法</w:t>
      </w:r>
      <w:r>
        <w:rPr>
          <w:rFonts w:hint="eastAsia" w:ascii="宋体" w:hAnsi="宋体" w:eastAsia="宋体" w:cs="宋体"/>
          <w:sz w:val="32"/>
          <w:szCs w:val="32"/>
        </w:rPr>
        <w:t>具体操作如下：</w:t>
      </w:r>
      <w:r>
        <w:rPr>
          <w:rFonts w:hint="eastAsia" w:ascii="宋体" w:hAnsi="宋体" w:eastAsia="宋体" w:cs="宋体"/>
          <w:sz w:val="32"/>
          <w:szCs w:val="32"/>
          <w:lang w:val="en-US" w:eastAsia="zh-CN"/>
        </w:rPr>
        <w:t>新学期开始时，按照授课计划</w:t>
      </w:r>
      <w:r>
        <w:rPr>
          <w:rFonts w:hint="eastAsia" w:ascii="宋体" w:hAnsi="宋体" w:eastAsia="宋体" w:cs="宋体"/>
          <w:sz w:val="32"/>
          <w:szCs w:val="32"/>
        </w:rPr>
        <w:t>从授课内容中选取</w:t>
      </w:r>
      <w:r>
        <w:rPr>
          <w:rFonts w:hint="eastAsia" w:ascii="宋体" w:hAnsi="宋体" w:eastAsia="宋体" w:cs="宋体"/>
          <w:sz w:val="32"/>
          <w:szCs w:val="32"/>
          <w:lang w:val="en-US" w:eastAsia="zh-CN"/>
        </w:rPr>
        <w:t>课程难度较大、需要深入理解探讨</w:t>
      </w:r>
      <w:r>
        <w:rPr>
          <w:rFonts w:hint="eastAsia" w:ascii="宋体" w:hAnsi="宋体" w:eastAsia="宋体" w:cs="宋体"/>
          <w:sz w:val="32"/>
          <w:szCs w:val="32"/>
        </w:rPr>
        <w:t>的部分章节作为学生需要课堂讲授的内容</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将全班同学分为大概7人为一组的若干组，</w:t>
      </w:r>
      <w:r>
        <w:rPr>
          <w:rFonts w:hint="eastAsia" w:ascii="宋体" w:hAnsi="宋体" w:eastAsia="宋体" w:cs="宋体"/>
          <w:sz w:val="32"/>
          <w:szCs w:val="32"/>
        </w:rPr>
        <w:t>每组学生抽签选取所需要讲解的课堂内容</w:t>
      </w:r>
      <w:r>
        <w:rPr>
          <w:rFonts w:hint="eastAsia" w:ascii="宋体" w:hAnsi="宋体" w:eastAsia="宋体" w:cs="宋体"/>
          <w:sz w:val="32"/>
          <w:szCs w:val="32"/>
          <w:lang w:val="en-US" w:eastAsia="zh-CN"/>
        </w:rPr>
        <w:t>并制作PPT</w:t>
      </w:r>
      <w:r>
        <w:rPr>
          <w:rFonts w:hint="eastAsia" w:ascii="宋体" w:hAnsi="宋体" w:eastAsia="宋体" w:cs="宋体"/>
          <w:sz w:val="32"/>
          <w:szCs w:val="32"/>
        </w:rPr>
        <w:t>。按照授课计划的课程进度，讲授到相关内容时，每组派一名同学在讲台上为同学们进行</w:t>
      </w:r>
      <w:r>
        <w:rPr>
          <w:rFonts w:hint="eastAsia" w:ascii="宋体" w:hAnsi="宋体" w:eastAsia="宋体" w:cs="宋体"/>
          <w:sz w:val="32"/>
          <w:szCs w:val="32"/>
          <w:lang w:val="en-US" w:eastAsia="zh-CN"/>
        </w:rPr>
        <w:t>现场</w:t>
      </w:r>
      <w:r>
        <w:rPr>
          <w:rFonts w:hint="eastAsia" w:ascii="宋体" w:hAnsi="宋体" w:eastAsia="宋体" w:cs="宋体"/>
          <w:sz w:val="32"/>
          <w:szCs w:val="32"/>
        </w:rPr>
        <w:t>讲授</w:t>
      </w:r>
      <w:r>
        <w:rPr>
          <w:rFonts w:hint="eastAsia" w:ascii="宋体" w:hAnsi="宋体" w:eastAsia="宋体" w:cs="宋体"/>
          <w:sz w:val="32"/>
          <w:szCs w:val="32"/>
          <w:lang w:val="en-US" w:eastAsia="zh-CN"/>
        </w:rPr>
        <w:t>本部分内容的重点难点问题</w:t>
      </w:r>
      <w:r>
        <w:rPr>
          <w:rFonts w:hint="eastAsia" w:ascii="宋体" w:hAnsi="宋体" w:eastAsia="宋体" w:cs="宋体"/>
          <w:sz w:val="32"/>
          <w:szCs w:val="32"/>
        </w:rPr>
        <w:t>，时长1</w:t>
      </w:r>
      <w:r>
        <w:rPr>
          <w:rFonts w:hint="eastAsia" w:ascii="宋体" w:hAnsi="宋体" w:eastAsia="宋体" w:cs="宋体"/>
          <w:sz w:val="32"/>
          <w:szCs w:val="32"/>
          <w:lang w:val="en-US" w:eastAsia="zh-CN"/>
        </w:rPr>
        <w:t>0</w:t>
      </w:r>
      <w:r>
        <w:rPr>
          <w:rFonts w:hint="eastAsia" w:ascii="宋体" w:hAnsi="宋体" w:eastAsia="宋体" w:cs="宋体"/>
          <w:sz w:val="32"/>
          <w:szCs w:val="32"/>
        </w:rPr>
        <w:t>-</w:t>
      </w:r>
      <w:r>
        <w:rPr>
          <w:rFonts w:hint="eastAsia" w:ascii="宋体" w:hAnsi="宋体" w:eastAsia="宋体" w:cs="宋体"/>
          <w:sz w:val="32"/>
          <w:szCs w:val="32"/>
          <w:lang w:val="en-US" w:eastAsia="zh-CN"/>
        </w:rPr>
        <w:t>15</w:t>
      </w:r>
      <w:r>
        <w:rPr>
          <w:rFonts w:hint="eastAsia" w:ascii="宋体" w:hAnsi="宋体" w:eastAsia="宋体" w:cs="宋体"/>
          <w:sz w:val="32"/>
          <w:szCs w:val="32"/>
        </w:rPr>
        <w:t>分钟。讲授结束后，其他</w:t>
      </w:r>
      <w:r>
        <w:rPr>
          <w:rFonts w:hint="eastAsia" w:ascii="宋体" w:hAnsi="宋体" w:eastAsia="宋体" w:cs="宋体"/>
          <w:sz w:val="32"/>
          <w:szCs w:val="32"/>
          <w:lang w:val="en-US" w:eastAsia="zh-CN"/>
        </w:rPr>
        <w:t>小组</w:t>
      </w:r>
      <w:r>
        <w:rPr>
          <w:rFonts w:hint="eastAsia" w:ascii="宋体" w:hAnsi="宋体" w:eastAsia="宋体" w:cs="宋体"/>
          <w:sz w:val="32"/>
          <w:szCs w:val="32"/>
        </w:rPr>
        <w:t>同学对本组同学的课件内容及讲授情况进行</w:t>
      </w:r>
      <w:r>
        <w:rPr>
          <w:rFonts w:hint="eastAsia" w:ascii="宋体" w:hAnsi="宋体" w:eastAsia="宋体" w:cs="宋体"/>
          <w:sz w:val="32"/>
          <w:szCs w:val="32"/>
          <w:lang w:val="en-US" w:eastAsia="zh-CN"/>
        </w:rPr>
        <w:t>10分钟的讨论与</w:t>
      </w:r>
      <w:r>
        <w:rPr>
          <w:rFonts w:hint="eastAsia" w:ascii="宋体" w:hAnsi="宋体" w:eastAsia="宋体" w:cs="宋体"/>
          <w:sz w:val="32"/>
          <w:szCs w:val="32"/>
        </w:rPr>
        <w:t>评价。</w:t>
      </w:r>
      <w:r>
        <w:rPr>
          <w:rFonts w:hint="eastAsia" w:ascii="宋体" w:hAnsi="宋体" w:eastAsia="宋体" w:cs="宋体"/>
          <w:sz w:val="32"/>
          <w:szCs w:val="32"/>
          <w:lang w:val="en-US" w:eastAsia="zh-CN"/>
        </w:rPr>
        <w:t>最后，由教师进行10分钟的总结与点评。根据同学们的讲解以及讨论情况，进一步讲解重点难点部分，对总体知识结构进行总结，帮助学生深入理解知识之间的相关性，便于学生掌握。</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通过</w:t>
      </w:r>
      <w:r>
        <w:rPr>
          <w:rFonts w:hint="eastAsia" w:ascii="宋体" w:hAnsi="宋体" w:eastAsia="宋体" w:cs="宋体"/>
          <w:sz w:val="32"/>
          <w:szCs w:val="32"/>
          <w:lang w:val="en-US" w:eastAsia="zh-CN"/>
        </w:rPr>
        <w:t>这</w:t>
      </w:r>
      <w:r>
        <w:rPr>
          <w:rFonts w:hint="eastAsia" w:ascii="宋体" w:hAnsi="宋体" w:eastAsia="宋体" w:cs="宋体"/>
          <w:sz w:val="32"/>
          <w:szCs w:val="32"/>
        </w:rPr>
        <w:t>种</w:t>
      </w:r>
      <w:r>
        <w:rPr>
          <w:rFonts w:hint="eastAsia" w:ascii="宋体" w:hAnsi="宋体" w:eastAsia="宋体" w:cs="宋体"/>
          <w:sz w:val="32"/>
          <w:szCs w:val="32"/>
          <w:lang w:val="en-US" w:eastAsia="zh-CN"/>
        </w:rPr>
        <w:t>翻转课堂的授课方式</w:t>
      </w:r>
      <w:r>
        <w:rPr>
          <w:rFonts w:hint="eastAsia" w:ascii="宋体" w:hAnsi="宋体" w:eastAsia="宋体" w:cs="宋体"/>
          <w:sz w:val="32"/>
          <w:szCs w:val="32"/>
        </w:rPr>
        <w:t>，发现学生的学习积极性有了很大的提高。此种讲授方式，一方面可以促进学生主动的去学习相关的内容，对知识的记忆会更深刻，对知识的理解也会更具有深度；另一方面，通过同学们的互相点评，也提高了其他同学的课堂参与度，使课堂的气氛更加活跃。这种讲授方式在加深同学们对知识的记忆的同时，也提高了学生的综合能力，包括对知识的理解概括能力，对时间的规划能力，团队沟通协作能力，而且也提高了同学们在公共场合的语言表达能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撰写文献综述，</w:t>
      </w:r>
      <w:r>
        <w:rPr>
          <w:rFonts w:hint="eastAsia" w:ascii="宋体" w:hAnsi="宋体" w:eastAsia="宋体" w:cs="宋体"/>
          <w:b/>
          <w:bCs/>
          <w:sz w:val="32"/>
          <w:szCs w:val="32"/>
          <w:lang w:val="en-US" w:eastAsia="zh-CN"/>
        </w:rPr>
        <w:t>培养</w:t>
      </w:r>
      <w:r>
        <w:rPr>
          <w:rFonts w:hint="eastAsia" w:ascii="宋体" w:hAnsi="宋体" w:eastAsia="宋体" w:cs="宋体"/>
          <w:b/>
          <w:bCs/>
          <w:sz w:val="32"/>
          <w:szCs w:val="32"/>
        </w:rPr>
        <w:t>学生的</w:t>
      </w:r>
      <w:r>
        <w:rPr>
          <w:rFonts w:hint="eastAsia" w:ascii="宋体" w:hAnsi="宋体" w:eastAsia="宋体" w:cs="宋体"/>
          <w:b/>
          <w:bCs/>
          <w:sz w:val="32"/>
          <w:szCs w:val="32"/>
          <w:lang w:val="en-US" w:eastAsia="zh-CN"/>
        </w:rPr>
        <w:t>科研兴趣</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新时代的背景下，亟需加强创新人才的培养力度。本科生的教育是高等教育的重要组成部分，在日常教学中充分提升本科生科研能力有助于创新人才的培养</w:t>
      </w:r>
      <w:r>
        <w:rPr>
          <w:rFonts w:hint="eastAsia" w:ascii="宋体" w:hAnsi="宋体" w:eastAsia="宋体" w:cs="宋体"/>
          <w:sz w:val="32"/>
          <w:szCs w:val="32"/>
          <w:vertAlign w:val="superscript"/>
          <w:lang w:val="en-US" w:eastAsia="zh-CN"/>
        </w:rPr>
        <w:t>[15]</w:t>
      </w:r>
      <w:r>
        <w:rPr>
          <w:rFonts w:hint="eastAsia" w:ascii="宋体" w:hAnsi="宋体" w:eastAsia="宋体" w:cs="宋体"/>
          <w:sz w:val="32"/>
          <w:szCs w:val="32"/>
          <w:lang w:val="en-US" w:eastAsia="zh-CN"/>
        </w:rPr>
        <w:t>。</w:t>
      </w:r>
      <w:r>
        <w:rPr>
          <w:rFonts w:hint="eastAsia" w:ascii="宋体" w:hAnsi="宋体" w:eastAsia="宋体" w:cs="宋体"/>
          <w:sz w:val="32"/>
          <w:szCs w:val="32"/>
        </w:rPr>
        <w:t>通过前期的调查发现，专升本的学生多数都有继续深造的意愿。为了</w:t>
      </w:r>
      <w:r>
        <w:rPr>
          <w:rFonts w:hint="eastAsia" w:ascii="宋体" w:hAnsi="宋体" w:eastAsia="宋体" w:cs="宋体"/>
          <w:sz w:val="32"/>
          <w:szCs w:val="32"/>
          <w:lang w:val="en-US" w:eastAsia="zh-CN"/>
        </w:rPr>
        <w:t>引导本科生科研兴趣和创新意识，应尽早培养学生查阅文献、科学选题及撰写论文的能力，以期为后期的本科毕业设计以及</w:t>
      </w:r>
      <w:r>
        <w:rPr>
          <w:rFonts w:hint="eastAsia" w:ascii="宋体" w:hAnsi="宋体" w:eastAsia="宋体" w:cs="宋体"/>
          <w:sz w:val="32"/>
          <w:szCs w:val="32"/>
        </w:rPr>
        <w:t>研究生</w:t>
      </w:r>
      <w:r>
        <w:rPr>
          <w:rFonts w:hint="eastAsia" w:ascii="宋体" w:hAnsi="宋体" w:eastAsia="宋体" w:cs="宋体"/>
          <w:sz w:val="32"/>
          <w:szCs w:val="32"/>
          <w:lang w:val="en-US" w:eastAsia="zh-CN"/>
        </w:rPr>
        <w:t>学习奠定基础</w:t>
      </w:r>
      <w:r>
        <w:rPr>
          <w:rFonts w:hint="eastAsia" w:ascii="宋体" w:hAnsi="宋体" w:eastAsia="宋体" w:cs="宋体"/>
          <w:sz w:val="32"/>
          <w:szCs w:val="32"/>
        </w:rPr>
        <w:t>。在开始撰写文献综述之前，教授学生主题相关文献检索的方法及常用的检索平台，使同学们</w:t>
      </w:r>
      <w:r>
        <w:rPr>
          <w:rFonts w:hint="eastAsia" w:ascii="宋体" w:hAnsi="宋体" w:eastAsia="宋体" w:cs="宋体"/>
          <w:sz w:val="32"/>
          <w:szCs w:val="32"/>
          <w:lang w:val="en-US" w:eastAsia="zh-CN"/>
        </w:rPr>
        <w:t>能够</w:t>
      </w:r>
      <w:r>
        <w:rPr>
          <w:rFonts w:hint="eastAsia" w:ascii="宋体" w:hAnsi="宋体" w:eastAsia="宋体" w:cs="宋体"/>
          <w:sz w:val="32"/>
          <w:szCs w:val="32"/>
        </w:rPr>
        <w:t>熟练</w:t>
      </w:r>
      <w:r>
        <w:rPr>
          <w:rFonts w:hint="eastAsia" w:ascii="宋体" w:hAnsi="宋体" w:eastAsia="宋体" w:cs="宋体"/>
          <w:sz w:val="32"/>
          <w:szCs w:val="32"/>
          <w:lang w:val="en-US" w:eastAsia="zh-CN"/>
        </w:rPr>
        <w:t>的对</w:t>
      </w:r>
      <w:r>
        <w:rPr>
          <w:rFonts w:hint="eastAsia" w:ascii="宋体" w:hAnsi="宋体" w:eastAsia="宋体" w:cs="宋体"/>
          <w:sz w:val="32"/>
          <w:szCs w:val="32"/>
        </w:rPr>
        <w:t>文献</w:t>
      </w:r>
      <w:r>
        <w:rPr>
          <w:rFonts w:hint="eastAsia" w:ascii="宋体" w:hAnsi="宋体" w:eastAsia="宋体" w:cs="宋体"/>
          <w:sz w:val="32"/>
          <w:szCs w:val="32"/>
          <w:lang w:val="en-US" w:eastAsia="zh-CN"/>
        </w:rPr>
        <w:t>进行</w:t>
      </w:r>
      <w:r>
        <w:rPr>
          <w:rFonts w:hint="eastAsia" w:ascii="宋体" w:hAnsi="宋体" w:eastAsia="宋体" w:cs="宋体"/>
          <w:sz w:val="32"/>
          <w:szCs w:val="32"/>
        </w:rPr>
        <w:t>检索。同时，鼓励同学们查找英文文献，逐步开始英文文献的阅读学习。</w:t>
      </w:r>
      <w:r>
        <w:rPr>
          <w:rFonts w:hint="eastAsia" w:ascii="宋体" w:hAnsi="宋体" w:eastAsia="宋体" w:cs="宋体"/>
          <w:sz w:val="32"/>
          <w:szCs w:val="32"/>
          <w:lang w:val="en-US" w:eastAsia="zh-CN"/>
        </w:rPr>
        <w:t>同时，利用现代优质的网络资源，如学习通等，发布论文写作每部分的结构及注意要点，并提供典型案例供同学们参考讨论。本门课程</w:t>
      </w:r>
      <w:r>
        <w:rPr>
          <w:rFonts w:hint="eastAsia" w:ascii="宋体" w:hAnsi="宋体" w:eastAsia="宋体" w:cs="宋体"/>
          <w:sz w:val="32"/>
          <w:szCs w:val="32"/>
        </w:rPr>
        <w:t>综述主题</w:t>
      </w:r>
      <w:r>
        <w:rPr>
          <w:rFonts w:hint="eastAsia" w:ascii="宋体" w:hAnsi="宋体" w:eastAsia="宋体" w:cs="宋体"/>
          <w:sz w:val="32"/>
          <w:szCs w:val="32"/>
          <w:lang w:val="en-US" w:eastAsia="zh-CN"/>
        </w:rPr>
        <w:t>的选取标准是</w:t>
      </w:r>
      <w:r>
        <w:rPr>
          <w:rFonts w:hint="eastAsia" w:ascii="宋体" w:hAnsi="宋体" w:eastAsia="宋体" w:cs="宋体"/>
          <w:sz w:val="32"/>
          <w:szCs w:val="32"/>
        </w:rPr>
        <w:t>应与当今的研究热点以及学生的专业密切相关，比如肿瘤细胞免疫治疗的原理及相关药物</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移植免疫相关的药物使用及原理</w:t>
      </w:r>
      <w:r>
        <w:rPr>
          <w:rFonts w:hint="eastAsia" w:ascii="宋体" w:hAnsi="宋体" w:eastAsia="宋体" w:cs="宋体"/>
          <w:sz w:val="32"/>
          <w:szCs w:val="32"/>
        </w:rPr>
        <w:t>等。通过这种方法</w:t>
      </w:r>
      <w:r>
        <w:rPr>
          <w:rFonts w:hint="eastAsia" w:ascii="宋体" w:hAnsi="宋体" w:eastAsia="宋体" w:cs="宋体"/>
          <w:sz w:val="32"/>
          <w:szCs w:val="32"/>
          <w:lang w:val="en-US" w:eastAsia="zh-CN"/>
        </w:rPr>
        <w:t>可培养学生的科研兴趣</w:t>
      </w:r>
      <w:r>
        <w:rPr>
          <w:rFonts w:hint="eastAsia" w:ascii="宋体" w:hAnsi="宋体" w:eastAsia="宋体" w:cs="宋体"/>
          <w:sz w:val="32"/>
          <w:szCs w:val="32"/>
        </w:rPr>
        <w:t>，一方面培养学生查找文献、阅读文献</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将文献内容转化为自身知识</w:t>
      </w:r>
      <w:r>
        <w:rPr>
          <w:rFonts w:hint="eastAsia" w:ascii="宋体" w:hAnsi="宋体" w:eastAsia="宋体" w:cs="宋体"/>
          <w:sz w:val="32"/>
          <w:szCs w:val="32"/>
        </w:rPr>
        <w:t>的能力。另一方面，可培养学生的</w:t>
      </w:r>
      <w:r>
        <w:rPr>
          <w:rFonts w:hint="eastAsia" w:ascii="宋体" w:hAnsi="宋体" w:eastAsia="宋体" w:cs="宋体"/>
          <w:sz w:val="32"/>
          <w:szCs w:val="32"/>
          <w:lang w:val="en-US" w:eastAsia="zh-CN"/>
        </w:rPr>
        <w:t>逻辑思维及</w:t>
      </w:r>
      <w:r>
        <w:rPr>
          <w:rFonts w:hint="eastAsia" w:ascii="宋体" w:hAnsi="宋体" w:eastAsia="宋体" w:cs="宋体"/>
          <w:sz w:val="32"/>
          <w:szCs w:val="32"/>
        </w:rPr>
        <w:t>写作能力，如撰写</w:t>
      </w:r>
      <w:r>
        <w:rPr>
          <w:rFonts w:hint="eastAsia" w:ascii="宋体" w:hAnsi="宋体" w:eastAsia="宋体" w:cs="宋体"/>
          <w:sz w:val="32"/>
          <w:szCs w:val="32"/>
          <w:lang w:val="en-US" w:eastAsia="zh-CN"/>
        </w:rPr>
        <w:t>论文</w:t>
      </w:r>
      <w:r>
        <w:rPr>
          <w:rFonts w:hint="eastAsia" w:ascii="宋体" w:hAnsi="宋体" w:eastAsia="宋体" w:cs="宋体"/>
          <w:sz w:val="32"/>
          <w:szCs w:val="32"/>
        </w:rPr>
        <w:t>应条理清晰、主</w:t>
      </w:r>
      <w:r>
        <w:rPr>
          <w:rFonts w:hint="eastAsia" w:ascii="宋体" w:hAnsi="宋体" w:eastAsia="宋体" w:cs="宋体"/>
          <w:sz w:val="32"/>
          <w:szCs w:val="32"/>
          <w:lang w:val="en-US" w:eastAsia="zh-CN"/>
        </w:rPr>
        <w:t>次</w:t>
      </w:r>
      <w:r>
        <w:rPr>
          <w:rFonts w:hint="eastAsia" w:ascii="宋体" w:hAnsi="宋体" w:eastAsia="宋体" w:cs="宋体"/>
          <w:sz w:val="32"/>
          <w:szCs w:val="32"/>
        </w:rPr>
        <w:t>分明</w:t>
      </w:r>
      <w:r>
        <w:rPr>
          <w:rFonts w:hint="eastAsia" w:ascii="宋体" w:hAnsi="宋体" w:eastAsia="宋体" w:cs="宋体"/>
          <w:sz w:val="32"/>
          <w:szCs w:val="32"/>
          <w:lang w:eastAsia="zh-CN"/>
        </w:rPr>
        <w:t>，</w:t>
      </w:r>
      <w:r>
        <w:rPr>
          <w:rFonts w:hint="eastAsia" w:ascii="宋体" w:hAnsi="宋体" w:eastAsia="宋体" w:cs="宋体"/>
          <w:sz w:val="32"/>
          <w:szCs w:val="32"/>
        </w:rPr>
        <w:t>规范使用学术用语等。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lang w:eastAsia="zh-CN"/>
        </w:rPr>
        <w:t>）</w:t>
      </w:r>
      <w:r>
        <w:rPr>
          <w:rFonts w:hint="eastAsia" w:ascii="宋体" w:hAnsi="宋体" w:eastAsia="宋体" w:cs="宋体"/>
          <w:b/>
          <w:bCs/>
          <w:sz w:val="32"/>
          <w:szCs w:val="32"/>
        </w:rPr>
        <w:t>改革实训内容，与专业更贴合</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药物分析专业的主要目标之一是培养具有药品质量安全检测知识的专业人才</w:t>
      </w:r>
      <w:r>
        <w:rPr>
          <w:rFonts w:hint="eastAsia" w:ascii="宋体" w:hAnsi="宋体" w:eastAsia="宋体" w:cs="宋体"/>
          <w:sz w:val="32"/>
          <w:szCs w:val="32"/>
          <w:vertAlign w:val="superscript"/>
        </w:rPr>
        <w:t>[</w:t>
      </w:r>
      <w:r>
        <w:rPr>
          <w:rFonts w:hint="eastAsia" w:ascii="宋体" w:hAnsi="宋体" w:eastAsia="宋体" w:cs="宋体"/>
          <w:sz w:val="32"/>
          <w:szCs w:val="32"/>
          <w:vertAlign w:val="superscript"/>
          <w:lang w:val="en-US" w:eastAsia="zh-CN"/>
        </w:rPr>
        <w:t>16</w:t>
      </w:r>
      <w:r>
        <w:rPr>
          <w:rFonts w:hint="eastAsia" w:ascii="宋体" w:hAnsi="宋体" w:eastAsia="宋体" w:cs="宋体"/>
          <w:sz w:val="32"/>
          <w:szCs w:val="32"/>
          <w:vertAlign w:val="superscript"/>
        </w:rPr>
        <w:t>]</w:t>
      </w:r>
      <w:r>
        <w:rPr>
          <w:rFonts w:hint="eastAsia" w:ascii="宋体" w:hAnsi="宋体" w:eastAsia="宋体" w:cs="宋体"/>
          <w:sz w:val="32"/>
          <w:szCs w:val="32"/>
        </w:rPr>
        <w:t>。药物分析专业专科阶段本课程的学习，实训部分为8个学时，包括微生物实验室的认识和细菌形态结构观察；细菌革兰染色技术；消毒灭菌技术及结果观察。为达到药物分析专业的培养目标，增强本课程在实际中的应用能力，实训课学时调整为</w:t>
      </w:r>
      <w:r>
        <w:rPr>
          <w:rFonts w:hint="eastAsia" w:ascii="宋体" w:hAnsi="宋体" w:eastAsia="宋体" w:cs="宋体"/>
          <w:sz w:val="32"/>
          <w:szCs w:val="32"/>
        </w:rPr>
        <w:t>16</w:t>
      </w:r>
      <w:r>
        <w:rPr>
          <w:rFonts w:hint="eastAsia" w:ascii="宋体" w:hAnsi="宋体" w:eastAsia="宋体" w:cs="宋体"/>
          <w:sz w:val="32"/>
          <w:szCs w:val="32"/>
        </w:rPr>
        <w:t>学时，并对实训内容进行了调整。对于专升本学生的实训教学，增加了药品的微生物检查部分</w:t>
      </w:r>
      <w:r>
        <w:rPr>
          <w:rFonts w:hint="eastAsia" w:ascii="宋体" w:hAnsi="宋体" w:eastAsia="宋体" w:cs="宋体"/>
          <w:sz w:val="32"/>
          <w:szCs w:val="32"/>
          <w:lang w:eastAsia="zh-CN"/>
        </w:rPr>
        <w:t>。</w:t>
      </w:r>
      <w:r>
        <w:rPr>
          <w:rFonts w:hint="eastAsia" w:ascii="宋体" w:hAnsi="宋体" w:eastAsia="宋体" w:cs="宋体"/>
          <w:sz w:val="32"/>
          <w:szCs w:val="32"/>
        </w:rPr>
        <w:t>药品的微生物检查即如何对药品进行无菌检查</w:t>
      </w:r>
      <w:r>
        <w:rPr>
          <w:rFonts w:hint="eastAsia" w:ascii="宋体" w:hAnsi="宋体" w:eastAsia="宋体" w:cs="宋体"/>
          <w:sz w:val="32"/>
          <w:szCs w:val="32"/>
          <w:lang w:eastAsia="zh-CN"/>
        </w:rPr>
        <w:t>、</w:t>
      </w:r>
      <w:r>
        <w:rPr>
          <w:rFonts w:hint="eastAsia" w:ascii="宋体" w:hAnsi="宋体" w:eastAsia="宋体" w:cs="宋体"/>
          <w:sz w:val="32"/>
          <w:szCs w:val="32"/>
        </w:rPr>
        <w:t>药品的微生物限度检查</w:t>
      </w:r>
      <w:r>
        <w:rPr>
          <w:rFonts w:hint="eastAsia" w:ascii="宋体" w:hAnsi="宋体" w:eastAsia="宋体" w:cs="宋体"/>
          <w:sz w:val="32"/>
          <w:szCs w:val="32"/>
          <w:lang w:val="en-US" w:eastAsia="zh-CN"/>
        </w:rPr>
        <w:t>以及药品的控制菌检查</w:t>
      </w:r>
      <w:r>
        <w:rPr>
          <w:rFonts w:hint="eastAsia" w:ascii="宋体" w:hAnsi="宋体" w:eastAsia="宋体" w:cs="宋体"/>
          <w:sz w:val="32"/>
          <w:szCs w:val="32"/>
        </w:rPr>
        <w:t>。药品的微生物检查是药品合格性检查中非常重要的一部分，也是药物分析专业必备的技能。通过这一部分内容的实训操作，可使同学们学习的理论知识在实际中得到应用，增强同学们对理论知识的理解。同时，充分体现了以提高知识运用能力为目的的教学改革宗旨</w:t>
      </w:r>
      <w:r>
        <w:rPr>
          <w:rFonts w:hint="eastAsia" w:ascii="宋体" w:hAnsi="宋体" w:eastAsia="宋体" w:cs="宋体"/>
          <w:sz w:val="32"/>
          <w:szCs w:val="32"/>
          <w:vertAlign w:val="superscript"/>
        </w:rPr>
        <w:t>[</w:t>
      </w:r>
      <w:r>
        <w:rPr>
          <w:rFonts w:hint="eastAsia" w:ascii="宋体" w:hAnsi="宋体" w:eastAsia="宋体" w:cs="宋体"/>
          <w:sz w:val="32"/>
          <w:szCs w:val="32"/>
          <w:vertAlign w:val="superscript"/>
          <w:lang w:val="en-US" w:eastAsia="zh-CN"/>
        </w:rPr>
        <w:t>17</w:t>
      </w:r>
      <w:r>
        <w:rPr>
          <w:rFonts w:hint="eastAsia" w:ascii="宋体" w:hAnsi="宋体" w:eastAsia="宋体" w:cs="宋体"/>
          <w:sz w:val="32"/>
          <w:szCs w:val="32"/>
          <w:vertAlign w:val="superscript"/>
        </w:rPr>
        <w:t>]</w:t>
      </w:r>
      <w:r>
        <w:rPr>
          <w:rFonts w:hint="eastAsia" w:ascii="宋体" w:hAnsi="宋体" w:eastAsia="宋体" w:cs="宋体"/>
          <w:sz w:val="32"/>
          <w:szCs w:val="32"/>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四</w:t>
      </w:r>
      <w:r>
        <w:rPr>
          <w:rFonts w:hint="eastAsia" w:ascii="宋体" w:hAnsi="宋体" w:eastAsia="宋体" w:cs="宋体"/>
          <w:b/>
          <w:bCs/>
          <w:sz w:val="32"/>
          <w:szCs w:val="32"/>
          <w:lang w:eastAsia="zh-CN"/>
        </w:rPr>
        <w:t>）</w:t>
      </w:r>
      <w:r>
        <w:rPr>
          <w:rFonts w:hint="eastAsia" w:ascii="宋体" w:hAnsi="宋体" w:eastAsia="宋体" w:cs="宋体"/>
          <w:b/>
          <w:bCs/>
          <w:sz w:val="32"/>
          <w:szCs w:val="32"/>
        </w:rPr>
        <w:t>注重学习过程</w:t>
      </w:r>
      <w:r>
        <w:rPr>
          <w:rFonts w:hint="eastAsia" w:ascii="宋体" w:hAnsi="宋体" w:eastAsia="宋体" w:cs="宋体"/>
          <w:b/>
          <w:bCs/>
          <w:sz w:val="32"/>
          <w:szCs w:val="32"/>
          <w:lang w:val="en-US" w:eastAsia="zh-CN"/>
        </w:rPr>
        <w:t>评价</w:t>
      </w:r>
      <w:r>
        <w:rPr>
          <w:rFonts w:hint="eastAsia" w:ascii="宋体" w:hAnsi="宋体" w:eastAsia="宋体" w:cs="宋体"/>
          <w:b/>
          <w:bCs/>
          <w:sz w:val="32"/>
          <w:szCs w:val="32"/>
        </w:rPr>
        <w:t>，提升学生</w:t>
      </w:r>
      <w:r>
        <w:rPr>
          <w:rFonts w:hint="eastAsia" w:ascii="宋体" w:hAnsi="宋体" w:eastAsia="宋体" w:cs="宋体"/>
          <w:b/>
          <w:bCs/>
          <w:sz w:val="32"/>
          <w:szCs w:val="32"/>
          <w:lang w:val="en-US" w:eastAsia="zh-CN"/>
        </w:rPr>
        <w:t>的课程</w:t>
      </w:r>
      <w:r>
        <w:rPr>
          <w:rFonts w:hint="eastAsia" w:ascii="宋体" w:hAnsi="宋体" w:eastAsia="宋体" w:cs="宋体"/>
          <w:b/>
          <w:bCs/>
          <w:sz w:val="32"/>
          <w:szCs w:val="32"/>
        </w:rPr>
        <w:t>参与度</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以往对学生学习效果的考核评价主要是期末试卷成绩，对学生在平时学习过程中的参与程度</w:t>
      </w:r>
      <w:r>
        <w:rPr>
          <w:rFonts w:hint="eastAsia" w:ascii="宋体" w:hAnsi="宋体" w:eastAsia="宋体" w:cs="宋体"/>
          <w:sz w:val="32"/>
          <w:szCs w:val="32"/>
          <w:lang w:val="en-US" w:eastAsia="zh-CN"/>
        </w:rPr>
        <w:t>及参与效果</w:t>
      </w:r>
      <w:r>
        <w:rPr>
          <w:rFonts w:hint="eastAsia" w:ascii="宋体" w:hAnsi="宋体" w:eastAsia="宋体" w:cs="宋体"/>
          <w:sz w:val="32"/>
          <w:szCs w:val="32"/>
        </w:rPr>
        <w:t>关注较少。对于专升本学生来说，改变专科阶段被动式的学习方式，激发学生自主学习的能力和兴趣，是本科阶段学习的重要任务。因此，</w:t>
      </w:r>
      <w:r>
        <w:rPr>
          <w:rFonts w:hint="eastAsia" w:ascii="宋体" w:hAnsi="宋体" w:eastAsia="宋体" w:cs="宋体"/>
          <w:sz w:val="32"/>
          <w:szCs w:val="32"/>
          <w:lang w:val="en-US" w:eastAsia="zh-CN"/>
        </w:rPr>
        <w:t>本科阶段</w:t>
      </w:r>
      <w:r>
        <w:rPr>
          <w:rFonts w:hint="eastAsia" w:ascii="宋体" w:hAnsi="宋体" w:eastAsia="宋体" w:cs="宋体"/>
          <w:sz w:val="32"/>
          <w:szCs w:val="32"/>
        </w:rPr>
        <w:t>更应该注重学生整个学习过程的参与程度，注重过程性评价</w:t>
      </w:r>
      <w:r>
        <w:rPr>
          <w:rFonts w:hint="eastAsia" w:ascii="宋体" w:hAnsi="宋体" w:eastAsia="宋体" w:cs="宋体"/>
          <w:sz w:val="32"/>
          <w:szCs w:val="32"/>
          <w:vertAlign w:val="superscript"/>
        </w:rPr>
        <w:t>[</w:t>
      </w:r>
      <w:r>
        <w:rPr>
          <w:rFonts w:hint="eastAsia" w:ascii="宋体" w:hAnsi="宋体" w:eastAsia="宋体" w:cs="宋体"/>
          <w:sz w:val="32"/>
          <w:szCs w:val="32"/>
          <w:vertAlign w:val="superscript"/>
          <w:lang w:val="en-US" w:eastAsia="zh-CN"/>
        </w:rPr>
        <w:t>18</w:t>
      </w:r>
      <w:r>
        <w:rPr>
          <w:rFonts w:hint="eastAsia" w:ascii="宋体" w:hAnsi="宋体" w:eastAsia="宋体" w:cs="宋体"/>
          <w:sz w:val="32"/>
          <w:szCs w:val="32"/>
          <w:vertAlign w:val="superscript"/>
        </w:rPr>
        <w:t>]</w:t>
      </w:r>
      <w:r>
        <w:rPr>
          <w:rFonts w:hint="eastAsia" w:ascii="宋体" w:hAnsi="宋体" w:eastAsia="宋体" w:cs="宋体"/>
          <w:sz w:val="32"/>
          <w:szCs w:val="32"/>
        </w:rPr>
        <w:t>。本门课程的过程性评价包括学生考勤、上课的听课状态、回答问题的积极程度、实训操作能力以及实训报告的撰写等。病原生物与免疫学课程的考核成绩满分为1</w:t>
      </w:r>
      <w:r>
        <w:rPr>
          <w:rFonts w:hint="eastAsia" w:ascii="宋体" w:hAnsi="宋体" w:eastAsia="宋体" w:cs="宋体"/>
          <w:sz w:val="32"/>
          <w:szCs w:val="32"/>
        </w:rPr>
        <w:t>00</w:t>
      </w:r>
      <w:r>
        <w:rPr>
          <w:rFonts w:hint="eastAsia" w:ascii="宋体" w:hAnsi="宋体" w:eastAsia="宋体" w:cs="宋体"/>
          <w:sz w:val="32"/>
          <w:szCs w:val="32"/>
        </w:rPr>
        <w:t>分，各方面所占的比例为：期末试卷成绩占总成绩的5</w:t>
      </w:r>
      <w:r>
        <w:rPr>
          <w:rFonts w:hint="eastAsia" w:ascii="宋体" w:hAnsi="宋体" w:eastAsia="宋体" w:cs="宋体"/>
          <w:sz w:val="32"/>
          <w:szCs w:val="32"/>
        </w:rPr>
        <w:t>0%</w:t>
      </w:r>
      <w:r>
        <w:rPr>
          <w:rFonts w:hint="eastAsia" w:ascii="宋体" w:hAnsi="宋体" w:eastAsia="宋体" w:cs="宋体"/>
          <w:sz w:val="32"/>
          <w:szCs w:val="32"/>
        </w:rPr>
        <w:t>；上课考勤占</w:t>
      </w:r>
      <w:r>
        <w:rPr>
          <w:rFonts w:hint="eastAsia" w:ascii="宋体" w:hAnsi="宋体" w:eastAsia="宋体" w:cs="宋体"/>
          <w:sz w:val="32"/>
          <w:szCs w:val="32"/>
        </w:rPr>
        <w:t>5%</w:t>
      </w:r>
      <w:r>
        <w:rPr>
          <w:rFonts w:hint="eastAsia" w:ascii="宋体" w:hAnsi="宋体" w:eastAsia="宋体" w:cs="宋体"/>
          <w:sz w:val="32"/>
          <w:szCs w:val="32"/>
        </w:rPr>
        <w:t>，学习通</w:t>
      </w:r>
      <w:r>
        <w:rPr>
          <w:rFonts w:hint="eastAsia" w:ascii="宋体" w:hAnsi="宋体" w:eastAsia="宋体" w:cs="宋体"/>
          <w:sz w:val="32"/>
          <w:szCs w:val="32"/>
          <w:lang w:val="en-US" w:eastAsia="zh-CN"/>
        </w:rPr>
        <w:t>平时</w:t>
      </w:r>
      <w:r>
        <w:rPr>
          <w:rFonts w:hint="eastAsia" w:ascii="宋体" w:hAnsi="宋体" w:eastAsia="宋体" w:cs="宋体"/>
          <w:sz w:val="32"/>
          <w:szCs w:val="32"/>
        </w:rPr>
        <w:t>作业成绩</w:t>
      </w:r>
      <w:r>
        <w:rPr>
          <w:rFonts w:hint="eastAsia" w:ascii="宋体" w:hAnsi="宋体" w:eastAsia="宋体" w:cs="宋体"/>
          <w:sz w:val="32"/>
          <w:szCs w:val="32"/>
          <w:lang w:val="en-US" w:eastAsia="zh-CN"/>
        </w:rPr>
        <w:t>、参与讨论次数及质量</w:t>
      </w:r>
      <w:r>
        <w:rPr>
          <w:rFonts w:hint="eastAsia" w:ascii="宋体" w:hAnsi="宋体" w:eastAsia="宋体" w:cs="宋体"/>
          <w:sz w:val="32"/>
          <w:szCs w:val="32"/>
        </w:rPr>
        <w:t>占1</w:t>
      </w:r>
      <w:r>
        <w:rPr>
          <w:rFonts w:hint="eastAsia" w:ascii="宋体" w:hAnsi="宋体" w:eastAsia="宋体" w:cs="宋体"/>
          <w:sz w:val="32"/>
          <w:szCs w:val="32"/>
        </w:rPr>
        <w:t>5%</w:t>
      </w:r>
      <w:r>
        <w:rPr>
          <w:rFonts w:hint="eastAsia" w:ascii="宋体" w:hAnsi="宋体" w:eastAsia="宋体" w:cs="宋体"/>
          <w:sz w:val="32"/>
          <w:szCs w:val="32"/>
        </w:rPr>
        <w:t>，实训成绩占1</w:t>
      </w:r>
      <w:r>
        <w:rPr>
          <w:rFonts w:hint="eastAsia" w:ascii="宋体" w:hAnsi="宋体" w:eastAsia="宋体" w:cs="宋体"/>
          <w:sz w:val="32"/>
          <w:szCs w:val="32"/>
        </w:rPr>
        <w:t>5%</w:t>
      </w:r>
      <w:r>
        <w:rPr>
          <w:rFonts w:hint="eastAsia" w:ascii="宋体" w:hAnsi="宋体" w:eastAsia="宋体" w:cs="宋体"/>
          <w:sz w:val="32"/>
          <w:szCs w:val="32"/>
        </w:rPr>
        <w:t>（包括实训操作</w:t>
      </w:r>
      <w:r>
        <w:rPr>
          <w:rFonts w:hint="eastAsia" w:ascii="宋体" w:hAnsi="宋体" w:eastAsia="宋体" w:cs="宋体"/>
          <w:sz w:val="32"/>
          <w:szCs w:val="32"/>
          <w:lang w:val="en-US" w:eastAsia="zh-CN"/>
        </w:rPr>
        <w:t>过程中的表现</w:t>
      </w:r>
      <w:r>
        <w:rPr>
          <w:rFonts w:hint="eastAsia" w:ascii="宋体" w:hAnsi="宋体" w:eastAsia="宋体" w:cs="宋体"/>
          <w:sz w:val="32"/>
          <w:szCs w:val="32"/>
        </w:rPr>
        <w:t>和实训报告）；小组授课及研究进展综述占1</w:t>
      </w:r>
      <w:r>
        <w:rPr>
          <w:rFonts w:hint="eastAsia" w:ascii="宋体" w:hAnsi="宋体" w:eastAsia="宋体" w:cs="宋体"/>
          <w:sz w:val="32"/>
          <w:szCs w:val="32"/>
        </w:rPr>
        <w:t>5%</w:t>
      </w:r>
      <w:r>
        <w:rPr>
          <w:rFonts w:hint="eastAsia" w:ascii="宋体" w:hAnsi="宋体" w:eastAsia="宋体" w:cs="宋体"/>
          <w:sz w:val="32"/>
          <w:szCs w:val="32"/>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四、结果评价</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完成</w:t>
      </w:r>
      <w:r>
        <w:rPr>
          <w:rFonts w:hint="eastAsia" w:ascii="宋体" w:hAnsi="宋体" w:eastAsia="宋体" w:cs="宋体"/>
          <w:sz w:val="32"/>
          <w:szCs w:val="32"/>
          <w:lang w:val="en-US" w:eastAsia="zh-CN"/>
        </w:rPr>
        <w:t>三</w:t>
      </w:r>
      <w:r>
        <w:rPr>
          <w:rFonts w:hint="eastAsia" w:ascii="宋体" w:hAnsi="宋体" w:eastAsia="宋体" w:cs="宋体"/>
          <w:sz w:val="32"/>
          <w:szCs w:val="32"/>
        </w:rPr>
        <w:t>届专升本学生的教学后，以问卷形式收集学生对本门课程的意见，以评价学生对教学改革后的教学方法及教学内容的满意程度。统计结果显示，8</w:t>
      </w:r>
      <w:r>
        <w:rPr>
          <w:rFonts w:hint="eastAsia" w:ascii="宋体" w:hAnsi="宋体" w:eastAsia="宋体" w:cs="宋体"/>
          <w:sz w:val="32"/>
          <w:szCs w:val="32"/>
        </w:rPr>
        <w:t>9%</w:t>
      </w:r>
      <w:r>
        <w:rPr>
          <w:rFonts w:hint="eastAsia" w:ascii="宋体" w:hAnsi="宋体" w:eastAsia="宋体" w:cs="宋体"/>
          <w:sz w:val="32"/>
          <w:szCs w:val="32"/>
        </w:rPr>
        <w:t>的学生对本门课程的整体教学效果表示满意。还存在对本门课程的教学不太满意的同学，主要是由于少部分同学未学习过本门课程</w:t>
      </w:r>
      <w:r>
        <w:rPr>
          <w:rFonts w:hint="eastAsia" w:ascii="宋体" w:hAnsi="宋体" w:eastAsia="宋体" w:cs="宋体"/>
          <w:sz w:val="32"/>
          <w:szCs w:val="32"/>
          <w:lang w:val="en-US" w:eastAsia="zh-CN"/>
        </w:rPr>
        <w:t>或未学习过免疫部分的内容</w:t>
      </w:r>
      <w:r>
        <w:rPr>
          <w:rFonts w:hint="eastAsia" w:ascii="宋体" w:hAnsi="宋体" w:eastAsia="宋体" w:cs="宋体"/>
          <w:sz w:val="32"/>
          <w:szCs w:val="32"/>
        </w:rPr>
        <w:t>，对于课程的整体授课进度及</w:t>
      </w:r>
      <w:r>
        <w:rPr>
          <w:rFonts w:hint="eastAsia" w:ascii="宋体" w:hAnsi="宋体" w:eastAsia="宋体" w:cs="宋体"/>
          <w:sz w:val="32"/>
          <w:szCs w:val="32"/>
          <w:lang w:val="en-US" w:eastAsia="zh-CN"/>
        </w:rPr>
        <w:t>内容</w:t>
      </w:r>
      <w:r>
        <w:rPr>
          <w:rFonts w:hint="eastAsia" w:ascii="宋体" w:hAnsi="宋体" w:eastAsia="宋体" w:cs="宋体"/>
          <w:sz w:val="32"/>
          <w:szCs w:val="32"/>
        </w:rPr>
        <w:t>安排不太满意。教学改革的详细评价结果见表4。</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表四 专升本学生对病原生物与免疫学课程教学改革效果的评价</w:t>
      </w:r>
    </w:p>
    <w:tbl>
      <w:tblPr>
        <w:tblStyle w:val="5"/>
        <w:tblW w:w="836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61"/>
        <w:gridCol w:w="1275"/>
        <w:gridCol w:w="993"/>
        <w:gridCol w:w="1417"/>
        <w:gridCol w:w="141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vMerge w:val="restart"/>
            <w:tcBorders>
              <w:top w:val="single" w:color="auto" w:sz="12"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项目</w:t>
            </w:r>
          </w:p>
        </w:tc>
        <w:tc>
          <w:tcPr>
            <w:tcW w:w="5103" w:type="dxa"/>
            <w:gridSpan w:val="4"/>
            <w:tcBorders>
              <w:top w:val="single" w:color="auto" w:sz="12" w:space="0"/>
              <w:bottom w:val="nil"/>
            </w:tcBorders>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1312" behindDoc="1" locked="0" layoutInCell="1" allowOverlap="1">
                      <wp:simplePos x="0" y="0"/>
                      <wp:positionH relativeFrom="column">
                        <wp:posOffset>139065</wp:posOffset>
                      </wp:positionH>
                      <wp:positionV relativeFrom="paragraph">
                        <wp:posOffset>360680</wp:posOffset>
                      </wp:positionV>
                      <wp:extent cx="2725420" cy="8255"/>
                      <wp:effectExtent l="0" t="0" r="36830" b="29845"/>
                      <wp:wrapTight wrapText="bothSides">
                        <wp:wrapPolygon>
                          <wp:start x="0" y="0"/>
                          <wp:lineTo x="0" y="49846"/>
                          <wp:lineTo x="21741" y="49846"/>
                          <wp:lineTo x="21741" y="0"/>
                          <wp:lineTo x="0" y="0"/>
                        </wp:wrapPolygon>
                      </wp:wrapTight>
                      <wp:docPr id="3" name="直接连接符 3"/>
                      <wp:cNvGraphicFramePr/>
                      <a:graphic xmlns:a="http://schemas.openxmlformats.org/drawingml/2006/main">
                        <a:graphicData uri="http://schemas.microsoft.com/office/word/2010/wordprocessingShape">
                          <wps:wsp>
                            <wps:cNvCnPr/>
                            <wps:spPr>
                              <a:xfrm flipV="1">
                                <a:off x="0" y="0"/>
                                <a:ext cx="2725420" cy="82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95pt;margin-top:28.4pt;height:0.65pt;width:214.6pt;mso-wrap-distance-left:9pt;mso-wrap-distance-right:9pt;z-index:-251655168;mso-width-relative:page;mso-height-relative:page;" filled="f" stroked="t" coordsize="21600,21600" wrapcoords="0 0 0 49846 21741 49846 21741 0 0 0" o:gfxdata="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denUDYAAAACAEAAA8AAAAAAAAAAQAgAAAAIgAAAGRycy9kb3ducmV2LnhtbFBLAQIUABQAAAAI&#10;AIdO4kCr7mgH7QEAAL4DAAAOAAAAAAAAAAEAIAAAACcBAABkcnMvZTJvRG9jLnhtbFBLBQYAAAAA&#10;BgAGAFkBAACGBQAAAAA=&#10;">
                      <v:fill on="f" focussize="0,0"/>
                      <v:stroke color="#000000 [3213]" miterlimit="8" joinstyle="miter"/>
                      <v:imagedata o:title=""/>
                      <o:lock v:ext="edit" aspectratio="f"/>
                      <w10:wrap type="tight"/>
                    </v:line>
                  </w:pict>
                </mc:Fallback>
              </mc:AlternateContent>
            </w:r>
            <w:r>
              <w:rPr>
                <w:rFonts w:hint="eastAsia" w:ascii="宋体" w:hAnsi="宋体" w:eastAsia="宋体" w:cs="宋体"/>
                <w:sz w:val="32"/>
                <w:szCs w:val="32"/>
              </w:rPr>
              <w:t>各评价等级人数分布(%</w:t>
            </w:r>
            <w:r>
              <w:rPr>
                <w:rFonts w:hint="eastAsia" w:ascii="宋体" w:hAnsi="宋体" w:eastAsia="宋体" w:cs="宋体"/>
                <w:sz w:val="32"/>
                <w:szCs w:val="32"/>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vMerge w:val="continue"/>
            <w:tcBorders>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p>
        </w:tc>
        <w:tc>
          <w:tcPr>
            <w:tcW w:w="1275"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很满意(%</w:t>
            </w:r>
            <w:r>
              <w:rPr>
                <w:rFonts w:hint="eastAsia" w:ascii="宋体" w:hAnsi="宋体" w:eastAsia="宋体" w:cs="宋体"/>
                <w:sz w:val="32"/>
                <w:szCs w:val="32"/>
              </w:rPr>
              <w:t>)</w:t>
            </w:r>
          </w:p>
        </w:tc>
        <w:tc>
          <w:tcPr>
            <w:tcW w:w="993"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满意(%</w:t>
            </w:r>
            <w:r>
              <w:rPr>
                <w:rFonts w:hint="eastAsia" w:ascii="宋体" w:hAnsi="宋体" w:eastAsia="宋体" w:cs="宋体"/>
                <w:sz w:val="32"/>
                <w:szCs w:val="32"/>
              </w:rPr>
              <w:t>)</w:t>
            </w:r>
          </w:p>
        </w:tc>
        <w:tc>
          <w:tcPr>
            <w:tcW w:w="1417"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不太满意(%</w:t>
            </w:r>
            <w:r>
              <w:rPr>
                <w:rFonts w:hint="eastAsia" w:ascii="宋体" w:hAnsi="宋体" w:eastAsia="宋体" w:cs="宋体"/>
                <w:sz w:val="32"/>
                <w:szCs w:val="32"/>
              </w:rPr>
              <w:t>)</w:t>
            </w:r>
          </w:p>
        </w:tc>
        <w:tc>
          <w:tcPr>
            <w:tcW w:w="1418" w:type="dxa"/>
            <w:tcBorders>
              <w:top w:val="nil"/>
              <w:bottom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很不满意(%</w:t>
            </w:r>
            <w:r>
              <w:rPr>
                <w:rFonts w:hint="eastAsia" w:ascii="宋体" w:hAnsi="宋体" w:eastAsia="宋体" w:cs="宋体"/>
                <w:sz w:val="32"/>
                <w:szCs w:val="32"/>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对课堂结构的安排</w:t>
            </w:r>
          </w:p>
        </w:tc>
        <w:tc>
          <w:tcPr>
            <w:tcW w:w="1275"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6</w:t>
            </w:r>
          </w:p>
        </w:tc>
        <w:tc>
          <w:tcPr>
            <w:tcW w:w="993"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7</w:t>
            </w:r>
            <w:r>
              <w:rPr>
                <w:rFonts w:hint="eastAsia" w:ascii="宋体" w:hAnsi="宋体" w:eastAsia="宋体" w:cs="宋体"/>
                <w:sz w:val="32"/>
                <w:szCs w:val="32"/>
              </w:rPr>
              <w:t>8</w:t>
            </w:r>
          </w:p>
        </w:tc>
        <w:tc>
          <w:tcPr>
            <w:tcW w:w="1417"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6</w:t>
            </w:r>
          </w:p>
        </w:tc>
        <w:tc>
          <w:tcPr>
            <w:tcW w:w="1418" w:type="dxa"/>
            <w:tcBorders>
              <w:top w:val="single" w:color="auto" w:sz="6" w:space="0"/>
            </w:tcBorders>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对教学内容的安排</w:t>
            </w:r>
          </w:p>
        </w:tc>
        <w:tc>
          <w:tcPr>
            <w:tcW w:w="127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8</w:t>
            </w:r>
          </w:p>
        </w:tc>
        <w:tc>
          <w:tcPr>
            <w:tcW w:w="99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7</w:t>
            </w:r>
            <w:r>
              <w:rPr>
                <w:rFonts w:hint="eastAsia" w:ascii="宋体" w:hAnsi="宋体" w:eastAsia="宋体" w:cs="宋体"/>
                <w:sz w:val="32"/>
                <w:szCs w:val="32"/>
              </w:rPr>
              <w:t>9</w:t>
            </w:r>
          </w:p>
        </w:tc>
        <w:tc>
          <w:tcPr>
            <w:tcW w:w="141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3</w:t>
            </w:r>
          </w:p>
        </w:tc>
        <w:tc>
          <w:tcPr>
            <w:tcW w:w="141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对考核方式的组成</w:t>
            </w:r>
          </w:p>
        </w:tc>
        <w:tc>
          <w:tcPr>
            <w:tcW w:w="127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2</w:t>
            </w:r>
          </w:p>
        </w:tc>
        <w:tc>
          <w:tcPr>
            <w:tcW w:w="99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8</w:t>
            </w:r>
            <w:r>
              <w:rPr>
                <w:rFonts w:hint="eastAsia" w:ascii="宋体" w:hAnsi="宋体" w:eastAsia="宋体" w:cs="宋体"/>
                <w:sz w:val="32"/>
                <w:szCs w:val="32"/>
              </w:rPr>
              <w:t>6</w:t>
            </w:r>
          </w:p>
        </w:tc>
        <w:tc>
          <w:tcPr>
            <w:tcW w:w="141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2</w:t>
            </w:r>
          </w:p>
        </w:tc>
        <w:tc>
          <w:tcPr>
            <w:tcW w:w="141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对本门课程整体教学效果的评价</w:t>
            </w:r>
          </w:p>
        </w:tc>
        <w:tc>
          <w:tcPr>
            <w:tcW w:w="127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9</w:t>
            </w:r>
          </w:p>
        </w:tc>
        <w:tc>
          <w:tcPr>
            <w:tcW w:w="99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8</w:t>
            </w:r>
            <w:r>
              <w:rPr>
                <w:rFonts w:hint="eastAsia" w:ascii="宋体" w:hAnsi="宋体" w:eastAsia="宋体" w:cs="宋体"/>
                <w:sz w:val="32"/>
                <w:szCs w:val="32"/>
              </w:rPr>
              <w:t>0</w:t>
            </w:r>
          </w:p>
        </w:tc>
        <w:tc>
          <w:tcPr>
            <w:tcW w:w="141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1</w:t>
            </w:r>
          </w:p>
        </w:tc>
        <w:tc>
          <w:tcPr>
            <w:tcW w:w="141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本门课程是否满足学习需求</w:t>
            </w:r>
          </w:p>
        </w:tc>
        <w:tc>
          <w:tcPr>
            <w:tcW w:w="127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7</w:t>
            </w:r>
          </w:p>
        </w:tc>
        <w:tc>
          <w:tcPr>
            <w:tcW w:w="99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7</w:t>
            </w:r>
            <w:r>
              <w:rPr>
                <w:rFonts w:hint="eastAsia" w:ascii="宋体" w:hAnsi="宋体" w:eastAsia="宋体" w:cs="宋体"/>
                <w:sz w:val="32"/>
                <w:szCs w:val="32"/>
              </w:rPr>
              <w:t>7</w:t>
            </w:r>
          </w:p>
        </w:tc>
        <w:tc>
          <w:tcPr>
            <w:tcW w:w="141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rPr>
              <w:t>6</w:t>
            </w:r>
          </w:p>
        </w:tc>
        <w:tc>
          <w:tcPr>
            <w:tcW w:w="141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r>
              <w:rPr>
                <w:rFonts w:hint="eastAsia" w:ascii="宋体" w:hAnsi="宋体" w:eastAsia="宋体" w:cs="宋体"/>
                <w:sz w:val="32"/>
                <w:szCs w:val="32"/>
              </w:rPr>
              <w:t>0</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五、结论</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随着教育理念变革的不断推进，“以学为中心，以学生为主体”的教学改革模式已逐渐兴起，这就对教师课堂多样化教学、发挥学生主体作用的能力提出了挑战。</w:t>
      </w:r>
      <w:r>
        <w:rPr>
          <w:rFonts w:hint="eastAsia" w:ascii="宋体" w:hAnsi="宋体" w:eastAsia="宋体" w:cs="宋体"/>
          <w:sz w:val="32"/>
          <w:szCs w:val="32"/>
        </w:rPr>
        <w:t>为提高专升本学生的学习主动性，培养专升本学生的学习能力，同时避免本科阶段的重复教学，病原生物与免疫学课程对教学内容、教学方法以及考核评价方式等进行了教学改革。本门课程主要采用了部分课程内容</w:t>
      </w:r>
      <w:r>
        <w:rPr>
          <w:rFonts w:hint="eastAsia" w:ascii="宋体" w:hAnsi="宋体" w:eastAsia="宋体" w:cs="宋体"/>
          <w:sz w:val="32"/>
          <w:szCs w:val="32"/>
          <w:lang w:val="en-US" w:eastAsia="zh-CN"/>
        </w:rPr>
        <w:t>采用翻转课堂方式进行</w:t>
      </w:r>
      <w:r>
        <w:rPr>
          <w:rFonts w:hint="eastAsia" w:ascii="宋体" w:hAnsi="宋体" w:eastAsia="宋体" w:cs="宋体"/>
          <w:sz w:val="32"/>
          <w:szCs w:val="32"/>
        </w:rPr>
        <w:t>讲解</w:t>
      </w:r>
      <w:r>
        <w:rPr>
          <w:rFonts w:hint="eastAsia" w:ascii="宋体" w:hAnsi="宋体" w:eastAsia="宋体" w:cs="宋体"/>
          <w:sz w:val="32"/>
          <w:szCs w:val="32"/>
          <w:lang w:val="en-US" w:eastAsia="zh-CN"/>
        </w:rPr>
        <w:t>以</w:t>
      </w:r>
      <w:r>
        <w:rPr>
          <w:rFonts w:hint="eastAsia" w:ascii="宋体" w:hAnsi="宋体" w:eastAsia="宋体" w:cs="宋体"/>
          <w:sz w:val="32"/>
          <w:szCs w:val="32"/>
        </w:rPr>
        <w:t>及</w:t>
      </w:r>
      <w:r>
        <w:rPr>
          <w:rFonts w:hint="eastAsia" w:ascii="宋体" w:hAnsi="宋体" w:eastAsia="宋体" w:cs="宋体"/>
          <w:sz w:val="32"/>
          <w:szCs w:val="32"/>
          <w:lang w:val="en-US" w:eastAsia="zh-CN"/>
        </w:rPr>
        <w:t>就与专业相关的热点内容</w:t>
      </w:r>
      <w:r>
        <w:rPr>
          <w:rFonts w:hint="eastAsia" w:ascii="宋体" w:hAnsi="宋体" w:eastAsia="宋体" w:cs="宋体"/>
          <w:sz w:val="32"/>
          <w:szCs w:val="32"/>
        </w:rPr>
        <w:t>撰写</w:t>
      </w:r>
      <w:r>
        <w:rPr>
          <w:rFonts w:hint="eastAsia" w:ascii="宋体" w:hAnsi="宋体" w:eastAsia="宋体" w:cs="宋体"/>
          <w:sz w:val="32"/>
          <w:szCs w:val="32"/>
          <w:lang w:val="en-US" w:eastAsia="zh-CN"/>
        </w:rPr>
        <w:t>文献综述</w:t>
      </w:r>
      <w:r>
        <w:rPr>
          <w:rFonts w:hint="eastAsia" w:ascii="宋体" w:hAnsi="宋体" w:eastAsia="宋体" w:cs="宋体"/>
          <w:sz w:val="32"/>
          <w:szCs w:val="32"/>
        </w:rPr>
        <w:t>的形式，以提高学生</w:t>
      </w:r>
      <w:r>
        <w:rPr>
          <w:rFonts w:hint="eastAsia" w:ascii="宋体" w:hAnsi="宋体" w:eastAsia="宋体" w:cs="宋体"/>
          <w:sz w:val="32"/>
          <w:szCs w:val="32"/>
          <w:lang w:val="en-US" w:eastAsia="zh-CN"/>
        </w:rPr>
        <w:t>在本门课程中的参与度和</w:t>
      </w:r>
      <w:r>
        <w:rPr>
          <w:rFonts w:hint="eastAsia" w:ascii="宋体" w:hAnsi="宋体" w:eastAsia="宋体" w:cs="宋体"/>
          <w:sz w:val="32"/>
          <w:szCs w:val="32"/>
        </w:rPr>
        <w:t>学习积极性。教学改革效果显示，学生对本门课程的整体满意度较高，</w:t>
      </w:r>
      <w:r>
        <w:rPr>
          <w:rFonts w:hint="eastAsia" w:ascii="宋体" w:hAnsi="宋体" w:eastAsia="宋体" w:cs="宋体"/>
          <w:sz w:val="32"/>
          <w:szCs w:val="32"/>
          <w:lang w:val="en-US" w:eastAsia="zh-CN"/>
        </w:rPr>
        <w:t>采用翻转课堂的方式授课</w:t>
      </w:r>
      <w:r>
        <w:rPr>
          <w:rFonts w:hint="eastAsia" w:ascii="宋体" w:hAnsi="宋体" w:eastAsia="宋体" w:cs="宋体"/>
          <w:sz w:val="32"/>
          <w:szCs w:val="32"/>
        </w:rPr>
        <w:t>使学生的学习由被动变为主动，而</w:t>
      </w:r>
      <w:r>
        <w:rPr>
          <w:rFonts w:hint="eastAsia" w:ascii="宋体" w:hAnsi="宋体" w:eastAsia="宋体" w:cs="宋体"/>
          <w:sz w:val="32"/>
          <w:szCs w:val="32"/>
          <w:lang w:val="en-US" w:eastAsia="zh-CN"/>
        </w:rPr>
        <w:t>就与专业相关的热点内容</w:t>
      </w:r>
      <w:r>
        <w:rPr>
          <w:rFonts w:hint="eastAsia" w:ascii="宋体" w:hAnsi="宋体" w:eastAsia="宋体" w:cs="宋体"/>
          <w:sz w:val="32"/>
          <w:szCs w:val="32"/>
        </w:rPr>
        <w:t>撰写</w:t>
      </w:r>
      <w:r>
        <w:rPr>
          <w:rFonts w:hint="eastAsia" w:ascii="宋体" w:hAnsi="宋体" w:eastAsia="宋体" w:cs="宋体"/>
          <w:sz w:val="32"/>
          <w:szCs w:val="32"/>
          <w:lang w:val="en-US" w:eastAsia="zh-CN"/>
        </w:rPr>
        <w:t>文献综述</w:t>
      </w:r>
      <w:r>
        <w:rPr>
          <w:rFonts w:hint="eastAsia" w:ascii="宋体" w:hAnsi="宋体" w:eastAsia="宋体" w:cs="宋体"/>
          <w:sz w:val="32"/>
          <w:szCs w:val="32"/>
        </w:rPr>
        <w:t>则</w:t>
      </w:r>
      <w:r>
        <w:rPr>
          <w:rFonts w:hint="eastAsia" w:ascii="宋体" w:hAnsi="宋体" w:eastAsia="宋体" w:cs="宋体"/>
          <w:sz w:val="32"/>
          <w:szCs w:val="32"/>
          <w:lang w:val="en-US" w:eastAsia="zh-CN"/>
        </w:rPr>
        <w:t>培养了学生的科研兴趣，</w:t>
      </w:r>
      <w:r>
        <w:rPr>
          <w:rFonts w:hint="eastAsia" w:ascii="宋体" w:hAnsi="宋体" w:eastAsia="宋体" w:cs="宋体"/>
          <w:sz w:val="32"/>
          <w:szCs w:val="32"/>
        </w:rPr>
        <w:t>为后期的深造学习奠定了基础。</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另外，本门课程的教学内容还需要继续优化，如课程内容中未涉及与药学类密切相关的放线菌相关内容的实训操作。放线菌对于药学类相关专业来说，是非常重要的一种原核细胞型微生物。因为放线菌是抗生素的主要产生菌，约有2/</w:t>
      </w:r>
      <w:r>
        <w:rPr>
          <w:rFonts w:hint="eastAsia" w:ascii="宋体" w:hAnsi="宋体" w:eastAsia="宋体" w:cs="宋体"/>
          <w:sz w:val="32"/>
          <w:szCs w:val="32"/>
        </w:rPr>
        <w:t>3</w:t>
      </w:r>
      <w:r>
        <w:rPr>
          <w:rFonts w:hint="eastAsia" w:ascii="宋体" w:hAnsi="宋体" w:eastAsia="宋体" w:cs="宋体"/>
          <w:sz w:val="32"/>
          <w:szCs w:val="32"/>
        </w:rPr>
        <w:t>的抗生素是由放线菌产生的</w:t>
      </w:r>
      <w:r>
        <w:rPr>
          <w:rFonts w:hint="eastAsia" w:ascii="宋体" w:hAnsi="宋体" w:eastAsia="宋体" w:cs="宋体"/>
          <w:sz w:val="32"/>
          <w:szCs w:val="32"/>
          <w:vertAlign w:val="superscript"/>
        </w:rPr>
        <w:t>[</w:t>
      </w:r>
      <w:r>
        <w:rPr>
          <w:rFonts w:hint="eastAsia" w:ascii="宋体" w:hAnsi="宋体" w:eastAsia="宋体" w:cs="宋体"/>
          <w:sz w:val="32"/>
          <w:szCs w:val="32"/>
          <w:vertAlign w:val="superscript"/>
          <w:lang w:val="en-US" w:eastAsia="zh-CN"/>
        </w:rPr>
        <w:t>20</w:t>
      </w:r>
      <w:r>
        <w:rPr>
          <w:rFonts w:hint="eastAsia" w:ascii="宋体" w:hAnsi="宋体" w:eastAsia="宋体" w:cs="宋体"/>
          <w:sz w:val="32"/>
          <w:szCs w:val="32"/>
          <w:vertAlign w:val="superscript"/>
        </w:rPr>
        <w:t>]</w:t>
      </w:r>
      <w:r>
        <w:rPr>
          <w:rFonts w:hint="eastAsia" w:ascii="宋体" w:hAnsi="宋体" w:eastAsia="宋体" w:cs="宋体"/>
          <w:sz w:val="32"/>
          <w:szCs w:val="32"/>
        </w:rPr>
        <w:t>。本门课程将在后期的教学中与微生物实训室进行</w:t>
      </w:r>
      <w:r>
        <w:rPr>
          <w:rFonts w:hint="eastAsia" w:ascii="宋体" w:hAnsi="宋体" w:eastAsia="宋体" w:cs="宋体"/>
          <w:sz w:val="32"/>
          <w:szCs w:val="32"/>
          <w:lang w:val="en-US" w:eastAsia="zh-CN"/>
        </w:rPr>
        <w:t>沟通</w:t>
      </w:r>
      <w:r>
        <w:rPr>
          <w:rFonts w:hint="eastAsia" w:ascii="宋体" w:hAnsi="宋体" w:eastAsia="宋体" w:cs="宋体"/>
          <w:sz w:val="32"/>
          <w:szCs w:val="32"/>
        </w:rPr>
        <w:t>协调，开展放线菌的相关实训内容，以增强学生操作与药学相关的重点微生物的能力。</w:t>
      </w:r>
      <w:r>
        <w:rPr>
          <w:rFonts w:hint="eastAsia" w:ascii="宋体" w:hAnsi="宋体" w:eastAsia="宋体" w:cs="宋体"/>
          <w:sz w:val="32"/>
          <w:szCs w:val="32"/>
          <w:lang w:val="en-US" w:eastAsia="zh-CN"/>
        </w:rPr>
        <w:t>另外，随着信息化的发展，虚拟仿真实验教学被越来越多的应用到课程的学习当中，尤其是对于在实际中学生很难接触到的实验操作有着非常重要的意义。本门课程将进一步研究药学类相关专业的虚拟仿真实验教学，以提高学生毕业后对相关工作的适应能力。</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综上所述，专升本学生的教学应根据学生特点，避免重复性的讲授教学，通过让学生主动参与、提高课程的适用性（包括今后工作的适用性以及继续深造学习的适用性），采用先进的信息化教学等，提高学生对所学课程的学习兴趣，从而提供学生对知识的掌握程度。</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r>
        <w:rPr>
          <w:rFonts w:hint="eastAsia" w:ascii="黑体" w:hAnsi="黑体" w:eastAsia="黑体" w:cs="黑体"/>
          <w:b/>
          <w:bCs/>
          <w:sz w:val="32"/>
          <w:szCs w:val="32"/>
          <w:lang w:val="en-US" w:eastAsia="zh-CN"/>
        </w:rPr>
        <w:t>参考文献</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rPr>
        <w:t>吴俊勇,</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闫华,</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金燕仙等.</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制药工程专升本物理化学及实验课程教学改革探讨[J].</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山东化工,</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2019,</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48(01):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141-142.</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李育瑜.普通本科高校专升本管理和培养工作探索[J].</w:t>
      </w:r>
      <w:r>
        <w:rPr>
          <w:rFonts w:hint="eastAsia" w:ascii="楷体" w:hAnsi="楷体" w:eastAsia="楷体" w:cs="楷体"/>
          <w:sz w:val="32"/>
          <w:szCs w:val="32"/>
          <w:lang w:val="en-US" w:eastAsia="zh-CN"/>
        </w:rPr>
        <w:t>现代商贸工业,2024,45(06):219-221.</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沈迁.高职与本科“联合培养专升本’教学管理优化研究[J].成才之路,2024(06):49-52.</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刘敏,黄琼蕾,唐瑭.基于成果导向教育理念的闭环模块化教学模式对护理专升本学生核心能力的影响[J].牡丹江医学院学报,2024,45(01):165-168.</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龚莉书.计算机类专升本学生人才培养对策研究[J].福建轻纺,2024(02):76-78</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胡茜.课程思政背景下高校“大学英语”SPOC教学模式探索——以温州医科大学继续教育学院专升本英语为例[J].成才之路,2024(02):25-28.</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邱汉周.旅游管理专业（专升本）教学模式创新——以宁德师范学院为例[J].宁德师范学院学报(哲学社会科学版),2023(04):111-115.</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罗磊.基于针灸推拿专升本专业教学特点探讨PBL联合SP教学法在针灸临床学的应用[J].中国中医药现代远程教育,2024,22(01):50-52.</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rPr>
        <w:t>史德青,</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李成帅,</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张会敏.</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分层教学在专升本化工原理课程教学中的探索[J].</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广东化工,</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2021,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48(16):</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276-278.</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倪贺, 范瑞芳, 尹亮等. “新工科” 背景下“生物分离工程” 课程创新改革[J]. 生物工程学报, 2022, 38(4): 1612-1618.</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rPr>
        <w:t>马明海,钱丽萍,佘新松,等.基于翻转课堂的科技论文写作课程改革与实证[J].高教学刊, 2020(19):129-132.</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郑龙玉,张吉斌,李明顺等.“双驱双导”模式下研究生课程“生物催化与酶工程”教学改革与实践</w:t>
      </w:r>
      <w:r>
        <w:rPr>
          <w:rFonts w:hint="eastAsia" w:ascii="楷体" w:hAnsi="楷体" w:eastAsia="楷体" w:cs="楷体"/>
          <w:sz w:val="32"/>
          <w:szCs w:val="32"/>
        </w:rPr>
        <w:t>[J]</w:t>
      </w:r>
      <w:r>
        <w:rPr>
          <w:rFonts w:hint="eastAsia" w:ascii="楷体" w:hAnsi="楷体" w:eastAsia="楷体" w:cs="楷体"/>
          <w:sz w:val="32"/>
          <w:szCs w:val="32"/>
          <w:lang w:val="en-US" w:eastAsia="zh-CN"/>
        </w:rPr>
        <w:t>.生物工程学报:1-14</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王秀,王玉帅,丁琪等.翻转课堂教学法在《药剂学》教学中的效果分析—以普通本科院校蚌埠医学院为例[J].牡丹江医学院学报,2024,45(01):160-164.</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康世鑫,赵红梅,李亚芹等.基于微信平台的微格教学结合翻转课堂应用于心内科临床见习中的效果[J].卫生职业教育,2024,42(06):68-71.</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徐丽艳.提升本科生科研能力的教学改革研究[J].黑龙江教育(高教研究与评估),2024(03):43-45.</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rPr>
        <w:t>周莉.药物分析专业人才培养模式与课程体系的优化创新[J].</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课程教育研究,</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2019(01):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251-252.</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rPr>
        <w:t>黄俭强,</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陈琪尔.</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护理学专业专升本健康评估课程教学改革的实践与评价[J].</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医学教育,</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2004(01):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59-60.</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rPr>
        <w:t>李娜,</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程雪晴,</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陈梦月等.</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化工专升本专业</w:t>
      </w:r>
      <w:r>
        <w:rPr>
          <w:rFonts w:hint="eastAsia" w:ascii="楷体" w:hAnsi="楷体" w:eastAsia="楷体" w:cs="楷体"/>
          <w:sz w:val="32"/>
          <w:szCs w:val="32"/>
          <w:lang w:val="en-US" w:eastAsia="zh-CN"/>
        </w:rPr>
        <w:t>"</w:t>
      </w:r>
      <w:r>
        <w:rPr>
          <w:rFonts w:hint="eastAsia" w:ascii="楷体" w:hAnsi="楷体" w:eastAsia="楷体" w:cs="楷体"/>
          <w:sz w:val="32"/>
          <w:szCs w:val="32"/>
        </w:rPr>
        <w:t>虚拟仿真实验</w:t>
      </w:r>
      <w:r>
        <w:rPr>
          <w:rFonts w:hint="eastAsia" w:ascii="楷体" w:hAnsi="楷体" w:eastAsia="楷体" w:cs="楷体"/>
          <w:sz w:val="32"/>
          <w:szCs w:val="32"/>
          <w:lang w:val="en-US" w:eastAsia="zh-CN"/>
        </w:rPr>
        <w:t>”</w:t>
      </w:r>
      <w:r>
        <w:rPr>
          <w:rFonts w:hint="eastAsia" w:ascii="楷体" w:hAnsi="楷体" w:eastAsia="楷体" w:cs="楷体"/>
          <w:sz w:val="32"/>
          <w:szCs w:val="32"/>
        </w:rPr>
        <w:t>课程教学研究[J].</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合肥师范学院学报,</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2021,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39(06):</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104-106.</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常晟,欧阳广敏.从教到学: 学习空间的教育意涵及其建构路径[J].教育科学,2022,38(03):60-66.</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hanging="9" w:firstLineChars="0"/>
        <w:textAlignment w:val="auto"/>
        <w:rPr>
          <w:rFonts w:hint="eastAsia" w:ascii="楷体" w:hAnsi="楷体" w:eastAsia="楷体" w:cs="楷体"/>
          <w:sz w:val="32"/>
          <w:szCs w:val="32"/>
        </w:rPr>
      </w:pPr>
      <w:r>
        <w:rPr>
          <w:rFonts w:hint="eastAsia" w:ascii="楷体" w:hAnsi="楷体" w:eastAsia="楷体" w:cs="楷体"/>
          <w:sz w:val="32"/>
          <w:szCs w:val="32"/>
        </w:rPr>
        <w:t>尚坤,</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阎瑾逸,</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高君梅等.</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放线菌来源活性天然产物发现研究进展[J].</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微生物学杂志</w:t>
      </w:r>
      <w:r>
        <w:rPr>
          <w:rFonts w:hint="eastAsia" w:ascii="楷体" w:hAnsi="楷体" w:eastAsia="楷体" w:cs="楷体"/>
          <w:sz w:val="32"/>
          <w:szCs w:val="32"/>
          <w:lang w:val="en-US" w:eastAsia="zh-CN"/>
        </w:rPr>
        <w:t>,</w:t>
      </w:r>
      <w:r>
        <w:rPr>
          <w:rFonts w:hint="eastAsia" w:ascii="楷体" w:hAnsi="楷体" w:eastAsia="楷体" w:cs="楷体"/>
          <w:sz w:val="32"/>
          <w:szCs w:val="32"/>
        </w:rPr>
        <w:t>2023, 43(4):</w:t>
      </w:r>
      <w:r>
        <w:rPr>
          <w:rFonts w:hint="eastAsia" w:ascii="楷体" w:hAnsi="楷体" w:eastAsia="楷体" w:cs="楷体"/>
          <w:sz w:val="32"/>
          <w:szCs w:val="32"/>
          <w:lang w:val="en-US" w:eastAsia="zh-CN"/>
        </w:rPr>
        <w:t xml:space="preserve"> 10</w:t>
      </w:r>
      <w:r>
        <w:rPr>
          <w:rFonts w:hint="eastAsia" w:ascii="楷体" w:hAnsi="楷体" w:eastAsia="楷体" w:cs="楷体"/>
          <w:sz w:val="32"/>
          <w:szCs w:val="32"/>
        </w:rPr>
        <w:t>1-</w:t>
      </w:r>
      <w:r>
        <w:rPr>
          <w:rFonts w:hint="eastAsia" w:ascii="楷体" w:hAnsi="楷体" w:eastAsia="楷体" w:cs="楷体"/>
          <w:sz w:val="32"/>
          <w:szCs w:val="32"/>
          <w:lang w:val="en-US" w:eastAsia="zh-CN"/>
        </w:rPr>
        <w:t>10</w:t>
      </w:r>
      <w:r>
        <w:rPr>
          <w:rFonts w:hint="eastAsia" w:ascii="楷体" w:hAnsi="楷体" w:eastAsia="楷体" w:cs="楷体"/>
          <w:sz w:val="32"/>
          <w:szCs w:val="32"/>
        </w:rPr>
        <w:t>8</w:t>
      </w:r>
      <w:r>
        <w:rPr>
          <w:rFonts w:hint="eastAsia" w:ascii="楷体" w:hAnsi="楷体" w:eastAsia="楷体" w:cs="楷体"/>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3"/>
        <w:textAlignment w:val="auto"/>
        <w:rPr>
          <w:rFonts w:hint="eastAsia" w:ascii="宋体" w:hAnsi="宋体" w:eastAsia="宋体" w:cs="宋体"/>
          <w:sz w:val="32"/>
          <w:szCs w:val="32"/>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Exploration of Teaching Reform Based on College Graduates</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——Taking the Course of Pathogens and Immunology as an Example</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val="0"/>
          <w:bCs w:val="0"/>
          <w:i w:val="0"/>
          <w:iCs w:val="0"/>
          <w:sz w:val="24"/>
          <w:szCs w:val="24"/>
          <w:lang w:val="en-US" w:eastAsia="zh-CN"/>
        </w:rPr>
      </w:pPr>
      <w:r>
        <w:rPr>
          <w:rFonts w:hint="default" w:ascii="Times New Roman" w:hAnsi="Times New Roman" w:eastAsia="宋体" w:cs="Times New Roman"/>
          <w:b w:val="0"/>
          <w:bCs w:val="0"/>
          <w:i w:val="0"/>
          <w:iCs w:val="0"/>
          <w:sz w:val="24"/>
          <w:szCs w:val="24"/>
        </w:rPr>
        <w:t>W</w:t>
      </w:r>
      <w:r>
        <w:rPr>
          <w:rFonts w:hint="eastAsia" w:ascii="Times New Roman" w:hAnsi="Times New Roman" w:eastAsia="宋体" w:cs="Times New Roman"/>
          <w:b w:val="0"/>
          <w:bCs w:val="0"/>
          <w:i w:val="0"/>
          <w:iCs w:val="0"/>
          <w:sz w:val="24"/>
          <w:szCs w:val="24"/>
          <w:lang w:val="en-US" w:eastAsia="zh-CN"/>
        </w:rPr>
        <w:t>ANG</w:t>
      </w:r>
      <w:r>
        <w:rPr>
          <w:rFonts w:hint="default" w:ascii="Times New Roman" w:hAnsi="Times New Roman" w:eastAsia="宋体" w:cs="Times New Roman"/>
          <w:b w:val="0"/>
          <w:bCs w:val="0"/>
          <w:i w:val="0"/>
          <w:iCs w:val="0"/>
          <w:sz w:val="24"/>
          <w:szCs w:val="24"/>
        </w:rPr>
        <w:t xml:space="preserve"> Xiao</w:t>
      </w:r>
      <w:r>
        <w:rPr>
          <w:rFonts w:hint="eastAsia" w:ascii="Times New Roman" w:hAnsi="Times New Roman" w:eastAsia="宋体" w:cs="Times New Roman"/>
          <w:b w:val="0"/>
          <w:bCs w:val="0"/>
          <w:i w:val="0"/>
          <w:iCs w:val="0"/>
          <w:sz w:val="24"/>
          <w:szCs w:val="24"/>
          <w:lang w:val="en-US" w:eastAsia="zh-CN"/>
        </w:rPr>
        <w:t>-</w:t>
      </w:r>
      <w:r>
        <w:rPr>
          <w:rFonts w:hint="default" w:ascii="Times New Roman" w:hAnsi="Times New Roman" w:eastAsia="宋体" w:cs="Times New Roman"/>
          <w:b w:val="0"/>
          <w:bCs w:val="0"/>
          <w:i w:val="0"/>
          <w:iCs w:val="0"/>
          <w:sz w:val="24"/>
          <w:szCs w:val="24"/>
        </w:rPr>
        <w:t>ying</w:t>
      </w:r>
      <w:r>
        <w:rPr>
          <w:rFonts w:hint="eastAsia" w:ascii="Times New Roman" w:hAnsi="Times New Roman" w:eastAsia="宋体" w:cs="Times New Roman"/>
          <w:sz w:val="24"/>
          <w:szCs w:val="24"/>
          <w:vertAlign w:val="superscript"/>
          <w:lang w:val="en-US" w:eastAsia="zh-CN"/>
        </w:rPr>
        <w:t>a</w:t>
      </w:r>
      <w:r>
        <w:rPr>
          <w:rFonts w:hint="default" w:ascii="Times New Roman" w:hAnsi="Times New Roman" w:eastAsia="宋体" w:cs="Times New Roman"/>
          <w:b w:val="0"/>
          <w:bCs w:val="0"/>
          <w:i w:val="0"/>
          <w:iCs w:val="0"/>
          <w:sz w:val="24"/>
          <w:szCs w:val="24"/>
        </w:rPr>
        <w:t>, Z</w:t>
      </w:r>
      <w:r>
        <w:rPr>
          <w:rFonts w:hint="eastAsia" w:ascii="Times New Roman" w:hAnsi="Times New Roman" w:eastAsia="宋体" w:cs="Times New Roman"/>
          <w:b w:val="0"/>
          <w:bCs w:val="0"/>
          <w:i w:val="0"/>
          <w:iCs w:val="0"/>
          <w:sz w:val="24"/>
          <w:szCs w:val="24"/>
          <w:lang w:val="en-US" w:eastAsia="zh-CN"/>
        </w:rPr>
        <w:t>HENG</w:t>
      </w:r>
      <w:r>
        <w:rPr>
          <w:rFonts w:hint="default" w:ascii="Times New Roman" w:hAnsi="Times New Roman" w:eastAsia="宋体" w:cs="Times New Roman"/>
          <w:b w:val="0"/>
          <w:bCs w:val="0"/>
          <w:i w:val="0"/>
          <w:iCs w:val="0"/>
          <w:sz w:val="24"/>
          <w:szCs w:val="24"/>
        </w:rPr>
        <w:t xml:space="preserve"> Lu</w:t>
      </w:r>
      <w:r>
        <w:rPr>
          <w:rFonts w:hint="eastAsia" w:ascii="Times New Roman" w:hAnsi="Times New Roman" w:eastAsia="宋体" w:cs="Times New Roman"/>
          <w:sz w:val="24"/>
          <w:szCs w:val="24"/>
          <w:vertAlign w:val="superscript"/>
          <w:lang w:val="en-US" w:eastAsia="zh-CN"/>
        </w:rPr>
        <w:t>a</w:t>
      </w:r>
      <w:r>
        <w:rPr>
          <w:rFonts w:hint="default" w:ascii="Times New Roman" w:hAnsi="Times New Roman" w:eastAsia="宋体" w:cs="Times New Roman"/>
          <w:b w:val="0"/>
          <w:bCs w:val="0"/>
          <w:i w:val="0"/>
          <w:iCs w:val="0"/>
          <w:sz w:val="24"/>
          <w:szCs w:val="24"/>
        </w:rPr>
        <w:t>, G</w:t>
      </w:r>
      <w:r>
        <w:rPr>
          <w:rFonts w:hint="eastAsia" w:ascii="Times New Roman" w:hAnsi="Times New Roman" w:eastAsia="宋体" w:cs="Times New Roman"/>
          <w:b w:val="0"/>
          <w:bCs w:val="0"/>
          <w:i w:val="0"/>
          <w:iCs w:val="0"/>
          <w:sz w:val="24"/>
          <w:szCs w:val="24"/>
          <w:lang w:val="en-US" w:eastAsia="zh-CN"/>
        </w:rPr>
        <w:t>ONG</w:t>
      </w:r>
      <w:r>
        <w:rPr>
          <w:rFonts w:hint="default" w:ascii="Times New Roman" w:hAnsi="Times New Roman" w:eastAsia="宋体" w:cs="Times New Roman"/>
          <w:b w:val="0"/>
          <w:bCs w:val="0"/>
          <w:i w:val="0"/>
          <w:iCs w:val="0"/>
          <w:sz w:val="24"/>
          <w:szCs w:val="24"/>
        </w:rPr>
        <w:t xml:space="preserve"> Zhao</w:t>
      </w:r>
      <w:r>
        <w:rPr>
          <w:rFonts w:hint="eastAsia" w:ascii="Times New Roman" w:hAnsi="Times New Roman" w:eastAsia="宋体" w:cs="Times New Roman"/>
          <w:b w:val="0"/>
          <w:bCs w:val="0"/>
          <w:i w:val="0"/>
          <w:iCs w:val="0"/>
          <w:sz w:val="24"/>
          <w:szCs w:val="24"/>
          <w:lang w:val="en-US" w:eastAsia="zh-CN"/>
        </w:rPr>
        <w:t>-</w:t>
      </w:r>
      <w:r>
        <w:rPr>
          <w:rFonts w:hint="default" w:ascii="Times New Roman" w:hAnsi="Times New Roman" w:eastAsia="宋体" w:cs="Times New Roman"/>
          <w:b w:val="0"/>
          <w:bCs w:val="0"/>
          <w:i w:val="0"/>
          <w:iCs w:val="0"/>
          <w:sz w:val="24"/>
          <w:szCs w:val="24"/>
        </w:rPr>
        <w:t>miao</w:t>
      </w:r>
      <w:r>
        <w:rPr>
          <w:rFonts w:hint="eastAsia" w:ascii="Times New Roman" w:hAnsi="Times New Roman" w:eastAsia="宋体" w:cs="Times New Roman"/>
          <w:b w:val="0"/>
          <w:bCs w:val="0"/>
          <w:i w:val="0"/>
          <w:iCs w:val="0"/>
          <w:sz w:val="24"/>
          <w:szCs w:val="24"/>
          <w:vertAlign w:val="superscript"/>
          <w:lang w:val="en-US" w:eastAsia="zh-CN"/>
        </w:rPr>
        <w:t>b</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(Chongqing Medical and Pharmaceutical College</w:t>
      </w: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a. </w:t>
      </w:r>
      <w:r>
        <w:rPr>
          <w:rFonts w:hint="default" w:ascii="Times New Roman" w:hAnsi="Times New Roman" w:eastAsia="宋体" w:cs="Times New Roman"/>
          <w:sz w:val="24"/>
          <w:szCs w:val="24"/>
        </w:rPr>
        <w:t>School of Medical Technology</w:t>
      </w:r>
      <w:r>
        <w:rPr>
          <w:rFonts w:hint="eastAsia" w:ascii="Times New Roman" w:hAnsi="Times New Roman" w:eastAsia="宋体" w:cs="Times New Roman"/>
          <w:sz w:val="24"/>
          <w:szCs w:val="24"/>
          <w:lang w:val="en-US" w:eastAsia="zh-CN"/>
        </w:rPr>
        <w:t xml:space="preserve">；b. </w:t>
      </w:r>
      <w:r>
        <w:rPr>
          <w:rFonts w:hint="default" w:ascii="Times New Roman" w:hAnsi="Times New Roman" w:eastAsia="宋体" w:cs="Times New Roman"/>
          <w:sz w:val="24"/>
          <w:szCs w:val="24"/>
        </w:rPr>
        <w:t>personnel division</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rPr>
        <w:t>Chongqing</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401331</w:t>
      </w:r>
      <w:r>
        <w:rPr>
          <w:rFonts w:hint="default" w:ascii="Times New Roman" w:hAnsi="Times New Roman" w:eastAsia="宋体" w:cs="Times New Roman"/>
          <w:sz w:val="24"/>
          <w:szCs w:val="24"/>
          <w:lang w:val="en-US" w:eastAsia="zh-CN"/>
        </w:rPr>
        <w:t>, China</w:t>
      </w:r>
      <w:r>
        <w:rPr>
          <w:rFonts w:hint="default" w:ascii="Times New Roman" w:hAnsi="Times New Roman" w:eastAsia="宋体" w:cs="Times New Roman"/>
          <w:sz w:val="24"/>
          <w:szCs w:val="24"/>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sz w:val="24"/>
          <w:szCs w:val="24"/>
        </w:rPr>
        <w:t>Abstract</w:t>
      </w:r>
      <w:r>
        <w:rPr>
          <w:rFonts w:hint="eastAsia" w:ascii="Times New Roman" w:hAnsi="Times New Roman" w:eastAsia="宋体" w:cs="Times New Roman"/>
          <w:b w:val="0"/>
          <w:bCs w:val="0"/>
          <w:sz w:val="24"/>
          <w:szCs w:val="24"/>
          <w:lang w:val="en-US" w:eastAsia="zh-CN"/>
        </w:rPr>
        <w:t>:</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Starting from the learning foundation, current learning situation, and learning objectives of college students, this article proposes a teaching reform in the course of Pathogens and Immunology in the field of Pharmaceutical Analysis, in order to enhance their learning interest and quality. Based on this goal, this article analyzes the characteristics of the course of Pathogen and Immunology, and analyzes the learning experience of undergraduate students majoring in Drug Analysis. It proposes the integration and optimization of the course of Pathogen and Immunology, including the optimization and integration of teaching content and the reform of teaching methods. Teaching practice has proven that the teaching reform of the pathogen and immunology course has played a significant role in promoting students' learning initiative, improving their independent analysis ability, and enhancing their learning participation, stimulating their learning interest and improving teaching quality.</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Key word:</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s</w:t>
      </w:r>
      <w:r>
        <w:rPr>
          <w:rFonts w:hint="default" w:ascii="Times New Roman" w:hAnsi="Times New Roman" w:eastAsia="宋体" w:cs="Times New Roman"/>
          <w:sz w:val="24"/>
          <w:szCs w:val="24"/>
          <w:lang w:val="en-US" w:eastAsia="zh-CN"/>
        </w:rPr>
        <w:t xml:space="preserve">pecialized upgrade to undergraduate level; </w:t>
      </w:r>
      <w:r>
        <w:rPr>
          <w:rFonts w:hint="eastAsia" w:ascii="Times New Roman" w:hAnsi="Times New Roman" w:eastAsia="宋体" w:cs="Times New Roman"/>
          <w:sz w:val="24"/>
          <w:szCs w:val="24"/>
          <w:lang w:val="en-US" w:eastAsia="zh-CN"/>
        </w:rPr>
        <w:t>p</w:t>
      </w:r>
      <w:r>
        <w:rPr>
          <w:rFonts w:hint="default" w:ascii="Times New Roman" w:hAnsi="Times New Roman" w:eastAsia="宋体" w:cs="Times New Roman"/>
          <w:sz w:val="24"/>
          <w:szCs w:val="24"/>
          <w:lang w:val="en-US" w:eastAsia="zh-CN"/>
        </w:rPr>
        <w:t xml:space="preserve">athogens and </w:t>
      </w:r>
      <w:r>
        <w:rPr>
          <w:rFonts w:hint="eastAsia" w:ascii="Times New Roman" w:hAnsi="Times New Roman" w:eastAsia="宋体" w:cs="Times New Roman"/>
          <w:sz w:val="24"/>
          <w:szCs w:val="24"/>
          <w:lang w:val="en-US" w:eastAsia="zh-CN"/>
        </w:rPr>
        <w:t>i</w:t>
      </w:r>
      <w:r>
        <w:rPr>
          <w:rFonts w:hint="default" w:ascii="Times New Roman" w:hAnsi="Times New Roman" w:eastAsia="宋体" w:cs="Times New Roman"/>
          <w:sz w:val="24"/>
          <w:szCs w:val="24"/>
          <w:lang w:val="en-US" w:eastAsia="zh-CN"/>
        </w:rPr>
        <w:t xml:space="preserve">mmunology; </w:t>
      </w:r>
      <w:r>
        <w:rPr>
          <w:rFonts w:hint="eastAsia" w:ascii="Times New Roman" w:hAnsi="Times New Roman" w:eastAsia="宋体" w:cs="Times New Roman"/>
          <w:sz w:val="24"/>
          <w:szCs w:val="24"/>
          <w:lang w:val="en-US" w:eastAsia="zh-CN"/>
        </w:rPr>
        <w:t>d</w:t>
      </w:r>
      <w:r>
        <w:rPr>
          <w:rFonts w:hint="default" w:ascii="Times New Roman" w:hAnsi="Times New Roman" w:eastAsia="宋体" w:cs="Times New Roman"/>
          <w:sz w:val="24"/>
          <w:szCs w:val="24"/>
          <w:lang w:val="en-US" w:eastAsia="zh-CN"/>
        </w:rPr>
        <w:t xml:space="preserve">rug analysis; </w:t>
      </w: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eastAsia="zh-CN"/>
        </w:rPr>
        <w:t>eaching reform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8D4B1"/>
    <w:multiLevelType w:val="singleLevel"/>
    <w:tmpl w:val="04A8D4B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2N7MwsjAxNTQ2MzJV0lEKTi0uzszPAymwqAUAozwNGiwAAAA="/>
    <w:docVar w:name="commondata" w:val="eyJoZGlkIjoiNmE4YWE2NWM2NjkyMzUxOGRkNDNkNjJlMmYxYjJlZDkifQ=="/>
  </w:docVars>
  <w:rsids>
    <w:rsidRoot w:val="006524CE"/>
    <w:rsid w:val="000006DA"/>
    <w:rsid w:val="00076F49"/>
    <w:rsid w:val="00077600"/>
    <w:rsid w:val="000A6DD3"/>
    <w:rsid w:val="000B5274"/>
    <w:rsid w:val="000C3F1D"/>
    <w:rsid w:val="000D19D9"/>
    <w:rsid w:val="00105756"/>
    <w:rsid w:val="00157675"/>
    <w:rsid w:val="00164C2D"/>
    <w:rsid w:val="00190746"/>
    <w:rsid w:val="001B2978"/>
    <w:rsid w:val="002366D5"/>
    <w:rsid w:val="00250A6B"/>
    <w:rsid w:val="002C484E"/>
    <w:rsid w:val="00351897"/>
    <w:rsid w:val="00372DF9"/>
    <w:rsid w:val="003B038B"/>
    <w:rsid w:val="003B1E09"/>
    <w:rsid w:val="003D5C41"/>
    <w:rsid w:val="00400ECA"/>
    <w:rsid w:val="004012D1"/>
    <w:rsid w:val="00414336"/>
    <w:rsid w:val="0041718D"/>
    <w:rsid w:val="00434914"/>
    <w:rsid w:val="004756F6"/>
    <w:rsid w:val="00481533"/>
    <w:rsid w:val="004A0CBC"/>
    <w:rsid w:val="004F549C"/>
    <w:rsid w:val="005040C7"/>
    <w:rsid w:val="005840DE"/>
    <w:rsid w:val="005A0682"/>
    <w:rsid w:val="005F4BA8"/>
    <w:rsid w:val="0060298C"/>
    <w:rsid w:val="00644ABC"/>
    <w:rsid w:val="006524CE"/>
    <w:rsid w:val="00670BB7"/>
    <w:rsid w:val="00696824"/>
    <w:rsid w:val="006B364A"/>
    <w:rsid w:val="006C5430"/>
    <w:rsid w:val="00744042"/>
    <w:rsid w:val="00784496"/>
    <w:rsid w:val="00787CFB"/>
    <w:rsid w:val="007907A6"/>
    <w:rsid w:val="007A6803"/>
    <w:rsid w:val="007D3211"/>
    <w:rsid w:val="00802CD7"/>
    <w:rsid w:val="00815823"/>
    <w:rsid w:val="0082139F"/>
    <w:rsid w:val="0082398D"/>
    <w:rsid w:val="00841156"/>
    <w:rsid w:val="008515FB"/>
    <w:rsid w:val="008C3BC5"/>
    <w:rsid w:val="008D6BBE"/>
    <w:rsid w:val="008F7E2B"/>
    <w:rsid w:val="00917799"/>
    <w:rsid w:val="009C2122"/>
    <w:rsid w:val="00A13E79"/>
    <w:rsid w:val="00A16E7C"/>
    <w:rsid w:val="00A574A3"/>
    <w:rsid w:val="00AC4632"/>
    <w:rsid w:val="00AD534D"/>
    <w:rsid w:val="00AF0E58"/>
    <w:rsid w:val="00B04EF0"/>
    <w:rsid w:val="00B05502"/>
    <w:rsid w:val="00B232BA"/>
    <w:rsid w:val="00B35A5E"/>
    <w:rsid w:val="00B4681A"/>
    <w:rsid w:val="00B53600"/>
    <w:rsid w:val="00B930C3"/>
    <w:rsid w:val="00BA60FE"/>
    <w:rsid w:val="00BC4770"/>
    <w:rsid w:val="00BD7771"/>
    <w:rsid w:val="00C036D8"/>
    <w:rsid w:val="00C641C5"/>
    <w:rsid w:val="00CE129F"/>
    <w:rsid w:val="00D201FF"/>
    <w:rsid w:val="00D65357"/>
    <w:rsid w:val="00D66239"/>
    <w:rsid w:val="00D965AC"/>
    <w:rsid w:val="00DA017D"/>
    <w:rsid w:val="00DB273A"/>
    <w:rsid w:val="00E038CD"/>
    <w:rsid w:val="00E378D9"/>
    <w:rsid w:val="00E75C2A"/>
    <w:rsid w:val="00ED4B4B"/>
    <w:rsid w:val="00F345AA"/>
    <w:rsid w:val="00F649BF"/>
    <w:rsid w:val="00FC086A"/>
    <w:rsid w:val="00FD103D"/>
    <w:rsid w:val="01972E56"/>
    <w:rsid w:val="04862EE9"/>
    <w:rsid w:val="051B7237"/>
    <w:rsid w:val="0CEF34C6"/>
    <w:rsid w:val="109D108C"/>
    <w:rsid w:val="1578230B"/>
    <w:rsid w:val="18916E02"/>
    <w:rsid w:val="19B213E4"/>
    <w:rsid w:val="1DB07C92"/>
    <w:rsid w:val="22F56BF1"/>
    <w:rsid w:val="238D2A5F"/>
    <w:rsid w:val="252A40E6"/>
    <w:rsid w:val="28CA642A"/>
    <w:rsid w:val="29FE680A"/>
    <w:rsid w:val="2AC852BD"/>
    <w:rsid w:val="2C2404D1"/>
    <w:rsid w:val="300F0F76"/>
    <w:rsid w:val="31363515"/>
    <w:rsid w:val="33122F5A"/>
    <w:rsid w:val="355C3E9B"/>
    <w:rsid w:val="3779143F"/>
    <w:rsid w:val="37D92540"/>
    <w:rsid w:val="39CE6F8C"/>
    <w:rsid w:val="3C430575"/>
    <w:rsid w:val="48DC1765"/>
    <w:rsid w:val="51C67CA8"/>
    <w:rsid w:val="58564D34"/>
    <w:rsid w:val="5D67346E"/>
    <w:rsid w:val="60CD692B"/>
    <w:rsid w:val="61246071"/>
    <w:rsid w:val="61631376"/>
    <w:rsid w:val="6A516CF2"/>
    <w:rsid w:val="6A6301CD"/>
    <w:rsid w:val="6A675FD5"/>
    <w:rsid w:val="701E5062"/>
    <w:rsid w:val="73522C38"/>
    <w:rsid w:val="749D08C2"/>
    <w:rsid w:val="77C51F15"/>
    <w:rsid w:val="78605686"/>
    <w:rsid w:val="7A543529"/>
    <w:rsid w:val="7AC51AD2"/>
    <w:rsid w:val="7BA14395"/>
    <w:rsid w:val="7D79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20"/>
    <w:rPr>
      <w:i/>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 w:type="character" w:customStyle="1" w:styleId="10">
    <w:name w:val="abstract-text"/>
    <w:basedOn w:val="6"/>
    <w:autoRedefine/>
    <w:qFormat/>
    <w:uiPriority w:val="0"/>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733</Words>
  <Characters>4181</Characters>
  <Lines>34</Lines>
  <Paragraphs>9</Paragraphs>
  <TotalTime>153</TotalTime>
  <ScaleCrop>false</ScaleCrop>
  <LinksUpToDate>false</LinksUpToDate>
  <CharactersWithSpaces>4905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2023-03-27T07:47:00Z</dcterms:created>
  <dc:creator>Xiaoying</dc:creator>
  <cp:lastModifiedBy>王晓英</cp:lastModifiedBy>
  <dcterms:modified xsi:type="dcterms:W3CDTF">2024-04-09T07:04:42Z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642A365E216E4AB3A488644A3CA058A9_12</vt:lpwstr>
  </property>
</Properties>
</file>